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D2E83" w14:textId="77777777" w:rsidR="003B319C" w:rsidRPr="001049C7" w:rsidRDefault="003B319C" w:rsidP="003B319C">
      <w:pPr>
        <w:spacing w:before="1200" w:after="0" w:line="240" w:lineRule="auto"/>
        <w:textAlignment w:val="baseline"/>
        <w:outlineLvl w:val="1"/>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Annex A: draft regulations</w:t>
      </w:r>
    </w:p>
    <w:p w14:paraId="6B2E41C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Draft Regulations laid before Parliament under section 62(3) of the Regulatory Enforcement and Sanctions Act 2008, for approval by resolution of each House of Parliament.</w:t>
      </w:r>
    </w:p>
    <w:p w14:paraId="689DBE7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DRAFT STATUTORY INSTRUMENTS</w:t>
      </w:r>
    </w:p>
    <w:p w14:paraId="069FBE6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2021 No.</w:t>
      </w:r>
    </w:p>
    <w:p w14:paraId="10A551F2" w14:textId="1EC84655"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FOOD, ENGLAND</w:t>
      </w:r>
      <w:r w:rsidR="001049C7">
        <w:rPr>
          <w:rFonts w:ascii="Arial" w:eastAsia="Times New Roman" w:hAnsi="Arial" w:cs="Arial"/>
          <w:color w:val="0B0C0C"/>
          <w:sz w:val="24"/>
          <w:szCs w:val="24"/>
          <w:lang w:eastAsia="en-GB"/>
        </w:rPr>
        <w:t xml:space="preserve"> </w:t>
      </w:r>
      <w:r w:rsidRPr="001049C7">
        <w:rPr>
          <w:rFonts w:ascii="Arial" w:eastAsia="Times New Roman" w:hAnsi="Arial" w:cs="Arial"/>
          <w:color w:val="0B0C0C"/>
          <w:sz w:val="24"/>
          <w:szCs w:val="24"/>
          <w:lang w:eastAsia="en-GB"/>
        </w:rPr>
        <w:t>PUBLIC HEALTH, ENGLAND</w:t>
      </w:r>
    </w:p>
    <w:p w14:paraId="31457972"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The Food (Promotion and Placement) (England) Regulations 2021</w:t>
      </w:r>
    </w:p>
    <w:p w14:paraId="5150DDA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Made - - - - ***</w:t>
      </w:r>
    </w:p>
    <w:p w14:paraId="26546EA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Coming into force - - 6 April 2022</w:t>
      </w:r>
    </w:p>
    <w:p w14:paraId="10265A89"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The Secretary of State, in exercise of the powers conferred by sections 6(4), 16(1)(e) and (f), 26(3) and 48(1) of the Food Safety Act 1990</w:t>
      </w:r>
      <w:hyperlink r:id="rId5" w:anchor="fn:1" w:history="1">
        <w:r w:rsidRPr="001049C7">
          <w:rPr>
            <w:rFonts w:ascii="Arial" w:eastAsia="Times New Roman" w:hAnsi="Arial" w:cs="Arial"/>
            <w:color w:val="4C2C92"/>
            <w:sz w:val="24"/>
            <w:szCs w:val="24"/>
            <w:u w:val="single"/>
            <w:bdr w:val="none" w:sz="0" w:space="0" w:color="auto" w:frame="1"/>
            <w:vertAlign w:val="superscript"/>
            <w:lang w:eastAsia="en-GB"/>
          </w:rPr>
          <w:t>[footnote 1]</w:t>
        </w:r>
      </w:hyperlink>
      <w:r w:rsidRPr="001049C7">
        <w:rPr>
          <w:rFonts w:ascii="Arial" w:eastAsia="Times New Roman" w:hAnsi="Arial" w:cs="Arial"/>
          <w:color w:val="0B0C0C"/>
          <w:sz w:val="24"/>
          <w:szCs w:val="24"/>
          <w:lang w:eastAsia="en-GB"/>
        </w:rPr>
        <w:t> by sections 36, 39, 52, 54, 55, 62(2), 63 and 65 of the Regulatory Enforcement and Sanctions Act 2008</w:t>
      </w:r>
      <w:hyperlink r:id="rId6" w:anchor="fn:2" w:history="1">
        <w:r w:rsidRPr="001049C7">
          <w:rPr>
            <w:rFonts w:ascii="Arial" w:eastAsia="Times New Roman" w:hAnsi="Arial" w:cs="Arial"/>
            <w:color w:val="4C2C92"/>
            <w:sz w:val="24"/>
            <w:szCs w:val="24"/>
            <w:u w:val="single"/>
            <w:bdr w:val="none" w:sz="0" w:space="0" w:color="auto" w:frame="1"/>
            <w:vertAlign w:val="superscript"/>
            <w:lang w:eastAsia="en-GB"/>
          </w:rPr>
          <w:t>[footnote 2]</w:t>
        </w:r>
      </w:hyperlink>
      <w:r w:rsidRPr="001049C7">
        <w:rPr>
          <w:rFonts w:ascii="Arial" w:eastAsia="Times New Roman" w:hAnsi="Arial" w:cs="Arial"/>
          <w:color w:val="0B0C0C"/>
          <w:sz w:val="24"/>
          <w:szCs w:val="24"/>
          <w:lang w:eastAsia="en-GB"/>
        </w:rPr>
        <w:t> (“the 2008 Act”) and by section 105 of the Deregulation Act 2015</w:t>
      </w:r>
      <w:hyperlink r:id="rId7" w:anchor="fn:3" w:history="1">
        <w:r w:rsidRPr="001049C7">
          <w:rPr>
            <w:rFonts w:ascii="Arial" w:eastAsia="Times New Roman" w:hAnsi="Arial" w:cs="Arial"/>
            <w:color w:val="4C2C92"/>
            <w:sz w:val="24"/>
            <w:szCs w:val="24"/>
            <w:u w:val="single"/>
            <w:bdr w:val="none" w:sz="0" w:space="0" w:color="auto" w:frame="1"/>
            <w:vertAlign w:val="superscript"/>
            <w:lang w:eastAsia="en-GB"/>
          </w:rPr>
          <w:t>[footnote 3]</w:t>
        </w:r>
      </w:hyperlink>
      <w:r w:rsidRPr="001049C7">
        <w:rPr>
          <w:rFonts w:ascii="Arial" w:eastAsia="Times New Roman" w:hAnsi="Arial" w:cs="Arial"/>
          <w:color w:val="0B0C0C"/>
          <w:sz w:val="24"/>
          <w:szCs w:val="24"/>
          <w:lang w:eastAsia="en-GB"/>
        </w:rPr>
        <w:t> makes the following Regulations.</w:t>
      </w:r>
    </w:p>
    <w:p w14:paraId="2A6BE70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The Secretary of State has carried out consultations in accordance with sections 48(4) of the Food Safety Act 1990 and section 60 of the 2008 Act.</w:t>
      </w:r>
    </w:p>
    <w:p w14:paraId="088AC64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The Secretary of State is satisfied in accordance with section 66 of the 2008 Act that food authorities (who are the regulators for the purpose of these Regulations) will act in accordance with the principles referred to in section 5(2) of that Act in exercising a power conferred by these Regulations.</w:t>
      </w:r>
    </w:p>
    <w:p w14:paraId="6D6D2AE7" w14:textId="77777777" w:rsidR="001049C7" w:rsidRDefault="003B319C" w:rsidP="001049C7">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draft of these Regulations was laid before Parliament in accordance with section 62(3) of the 2008 </w:t>
      </w:r>
      <w:proofErr w:type="gramStart"/>
      <w:r w:rsidRPr="001049C7">
        <w:rPr>
          <w:rFonts w:ascii="Arial" w:eastAsia="Times New Roman" w:hAnsi="Arial" w:cs="Arial"/>
          <w:color w:val="0B0C0C"/>
          <w:sz w:val="24"/>
          <w:szCs w:val="24"/>
          <w:lang w:eastAsia="en-GB"/>
        </w:rPr>
        <w:t>Act, and</w:t>
      </w:r>
      <w:proofErr w:type="gramEnd"/>
      <w:r w:rsidRPr="001049C7">
        <w:rPr>
          <w:rFonts w:ascii="Arial" w:eastAsia="Times New Roman" w:hAnsi="Arial" w:cs="Arial"/>
          <w:color w:val="0B0C0C"/>
          <w:sz w:val="24"/>
          <w:szCs w:val="24"/>
          <w:lang w:eastAsia="en-GB"/>
        </w:rPr>
        <w:t xml:space="preserve"> approved by a resolution of each House of Parliament.</w:t>
      </w:r>
    </w:p>
    <w:p w14:paraId="68D11500" w14:textId="7BC270C5" w:rsidR="003B319C" w:rsidRPr="001049C7" w:rsidRDefault="003B319C" w:rsidP="001049C7">
      <w:pPr>
        <w:spacing w:before="300" w:after="300" w:line="240" w:lineRule="auto"/>
        <w:textAlignment w:val="baseline"/>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Citation, commencement, extent and application</w:t>
      </w:r>
    </w:p>
    <w:p w14:paraId="381F848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These Regulations may be cited as the Food (Promotion and Placement) (England) Regulations 2021 and come into force on 6 April 2022.</w:t>
      </w:r>
    </w:p>
    <w:p w14:paraId="2C2B2B1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(2) These Regulations extend to England and </w:t>
      </w:r>
      <w:proofErr w:type="gramStart"/>
      <w:r w:rsidRPr="001049C7">
        <w:rPr>
          <w:rFonts w:ascii="Arial" w:eastAsia="Times New Roman" w:hAnsi="Arial" w:cs="Arial"/>
          <w:color w:val="0B0C0C"/>
          <w:sz w:val="24"/>
          <w:szCs w:val="24"/>
          <w:lang w:eastAsia="en-GB"/>
        </w:rPr>
        <w:t>Wales, and</w:t>
      </w:r>
      <w:proofErr w:type="gramEnd"/>
      <w:r w:rsidRPr="001049C7">
        <w:rPr>
          <w:rFonts w:ascii="Arial" w:eastAsia="Times New Roman" w:hAnsi="Arial" w:cs="Arial"/>
          <w:color w:val="0B0C0C"/>
          <w:sz w:val="24"/>
          <w:szCs w:val="24"/>
          <w:lang w:eastAsia="en-GB"/>
        </w:rPr>
        <w:t xml:space="preserve"> apply in relation to England only.</w:t>
      </w:r>
    </w:p>
    <w:p w14:paraId="0F211695" w14:textId="77777777" w:rsidR="003B319C" w:rsidRPr="001049C7" w:rsidRDefault="003B319C" w:rsidP="003B319C">
      <w:pPr>
        <w:spacing w:before="1200" w:after="0" w:line="240" w:lineRule="auto"/>
        <w:textAlignment w:val="baseline"/>
        <w:outlineLvl w:val="2"/>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lastRenderedPageBreak/>
        <w:t>Interpretation</w:t>
      </w:r>
    </w:p>
    <w:p w14:paraId="036C03F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In these Regulations—</w:t>
      </w:r>
    </w:p>
    <w:p w14:paraId="61E09FD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“consumer” has the meaning given in section 2(3) of the Consumer Rights Act </w:t>
      </w:r>
      <w:proofErr w:type="gramStart"/>
      <w:r w:rsidRPr="001049C7">
        <w:rPr>
          <w:rFonts w:ascii="Arial" w:eastAsia="Times New Roman" w:hAnsi="Arial" w:cs="Arial"/>
          <w:color w:val="0B0C0C"/>
          <w:sz w:val="24"/>
          <w:szCs w:val="24"/>
          <w:lang w:eastAsia="en-GB"/>
        </w:rPr>
        <w:t>2015;</w:t>
      </w:r>
      <w:proofErr w:type="gramEnd"/>
    </w:p>
    <w:p w14:paraId="016048F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“prepacked food” means any single item for presentation as such to the final consumer, consisting of a food and the packaging into which it was put before being offered for sale, whether such packaging encloses the food completely or only partially, but in any event in such a way that the contents cannot be altered without opening or changing the packaging; ‘prepacked food’ does not cover foods packed on the sales premises at the consumer’s request or prepacked for direct </w:t>
      </w:r>
      <w:proofErr w:type="gramStart"/>
      <w:r w:rsidRPr="001049C7">
        <w:rPr>
          <w:rFonts w:ascii="Arial" w:eastAsia="Times New Roman" w:hAnsi="Arial" w:cs="Arial"/>
          <w:color w:val="0B0C0C"/>
          <w:sz w:val="24"/>
          <w:szCs w:val="24"/>
          <w:lang w:eastAsia="en-GB"/>
        </w:rPr>
        <w:t>sale;</w:t>
      </w:r>
      <w:proofErr w:type="gramEnd"/>
    </w:p>
    <w:p w14:paraId="65DC8B2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“specified food” has the meaning given in regulation </w:t>
      </w:r>
      <w:proofErr w:type="gramStart"/>
      <w:r w:rsidRPr="001049C7">
        <w:rPr>
          <w:rFonts w:ascii="Arial" w:eastAsia="Times New Roman" w:hAnsi="Arial" w:cs="Arial"/>
          <w:color w:val="0B0C0C"/>
          <w:sz w:val="24"/>
          <w:szCs w:val="24"/>
          <w:lang w:eastAsia="en-GB"/>
        </w:rPr>
        <w:t>3;</w:t>
      </w:r>
      <w:proofErr w:type="gramEnd"/>
    </w:p>
    <w:p w14:paraId="58D3BD1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“qualifying business” has the meaning given in regulation </w:t>
      </w:r>
      <w:proofErr w:type="gramStart"/>
      <w:r w:rsidRPr="001049C7">
        <w:rPr>
          <w:rFonts w:ascii="Arial" w:eastAsia="Times New Roman" w:hAnsi="Arial" w:cs="Arial"/>
          <w:color w:val="0B0C0C"/>
          <w:sz w:val="24"/>
          <w:szCs w:val="24"/>
          <w:lang w:eastAsia="en-GB"/>
        </w:rPr>
        <w:t>4;</w:t>
      </w:r>
      <w:proofErr w:type="gramEnd"/>
    </w:p>
    <w:p w14:paraId="2E048553" w14:textId="77777777" w:rsidR="001049C7" w:rsidRDefault="003B319C" w:rsidP="001049C7">
      <w:pPr>
        <w:spacing w:after="0" w:line="240" w:lineRule="auto"/>
        <w:textAlignment w:val="baseline"/>
        <w:rPr>
          <w:rFonts w:ascii="Arial" w:eastAsia="Times New Roman" w:hAnsi="Arial" w:cs="Arial"/>
          <w:color w:val="4C2C92"/>
          <w:sz w:val="24"/>
          <w:szCs w:val="24"/>
          <w:u w:val="single"/>
          <w:bdr w:val="none" w:sz="0" w:space="0" w:color="auto" w:frame="1"/>
          <w:vertAlign w:val="superscript"/>
          <w:lang w:eastAsia="en-GB"/>
        </w:rPr>
      </w:pPr>
      <w:r w:rsidRPr="001049C7">
        <w:rPr>
          <w:rFonts w:ascii="Arial" w:eastAsia="Times New Roman" w:hAnsi="Arial" w:cs="Arial"/>
          <w:color w:val="0B0C0C"/>
          <w:sz w:val="24"/>
          <w:szCs w:val="24"/>
          <w:lang w:eastAsia="en-GB"/>
        </w:rPr>
        <w:t>“the 2004/05 Nutrient Profiling Model” means the tool developed by the Food Standards Agency to identify food which is high in fat, salt or sugar.</w:t>
      </w:r>
      <w:hyperlink r:id="rId8" w:anchor="fn:4" w:history="1">
        <w:r w:rsidRPr="001049C7">
          <w:rPr>
            <w:rFonts w:ascii="Arial" w:eastAsia="Times New Roman" w:hAnsi="Arial" w:cs="Arial"/>
            <w:color w:val="4C2C92"/>
            <w:sz w:val="24"/>
            <w:szCs w:val="24"/>
            <w:u w:val="single"/>
            <w:bdr w:val="none" w:sz="0" w:space="0" w:color="auto" w:frame="1"/>
            <w:vertAlign w:val="superscript"/>
            <w:lang w:eastAsia="en-GB"/>
          </w:rPr>
          <w:t>[footnote 4]</w:t>
        </w:r>
      </w:hyperlink>
      <w:r w:rsidR="001049C7">
        <w:rPr>
          <w:rFonts w:ascii="Arial" w:eastAsia="Times New Roman" w:hAnsi="Arial" w:cs="Arial"/>
          <w:color w:val="4C2C92"/>
          <w:sz w:val="24"/>
          <w:szCs w:val="24"/>
          <w:u w:val="single"/>
          <w:bdr w:val="none" w:sz="0" w:space="0" w:color="auto" w:frame="1"/>
          <w:vertAlign w:val="superscript"/>
          <w:lang w:eastAsia="en-GB"/>
        </w:rPr>
        <w:t xml:space="preserve"> </w:t>
      </w:r>
    </w:p>
    <w:p w14:paraId="6332DF45" w14:textId="77777777" w:rsidR="001049C7" w:rsidRDefault="001049C7" w:rsidP="001049C7">
      <w:pPr>
        <w:spacing w:after="0" w:line="240" w:lineRule="auto"/>
        <w:textAlignment w:val="baseline"/>
        <w:rPr>
          <w:rFonts w:ascii="Arial" w:eastAsia="Times New Roman" w:hAnsi="Arial" w:cs="Arial"/>
          <w:color w:val="4C2C92"/>
          <w:sz w:val="24"/>
          <w:szCs w:val="24"/>
          <w:u w:val="single"/>
          <w:bdr w:val="none" w:sz="0" w:space="0" w:color="auto" w:frame="1"/>
          <w:vertAlign w:val="superscript"/>
          <w:lang w:eastAsia="en-GB"/>
        </w:rPr>
      </w:pPr>
    </w:p>
    <w:p w14:paraId="2163CD33" w14:textId="7E7B81E3" w:rsidR="003B319C" w:rsidRPr="001049C7" w:rsidRDefault="003B319C" w:rsidP="001049C7">
      <w:pPr>
        <w:spacing w:after="0" w:line="240" w:lineRule="auto"/>
        <w:textAlignment w:val="baseline"/>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Specified food</w:t>
      </w:r>
    </w:p>
    <w:p w14:paraId="0CC3E51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For the purposes of these Regulations “specified food” is prepacked food which—</w:t>
      </w:r>
    </w:p>
    <w:p w14:paraId="5238426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 falls within any of the categories listed in Schedule 1 to these Regulations,</w:t>
      </w:r>
    </w:p>
    <w:p w14:paraId="53573E5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is high in fat, salt or sugar, and</w:t>
      </w:r>
    </w:p>
    <w:p w14:paraId="55000EF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is not food to which paragraph (3) applies.</w:t>
      </w:r>
    </w:p>
    <w:p w14:paraId="7E4ACE6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For the purposes of this regulation—</w:t>
      </w:r>
    </w:p>
    <w:p w14:paraId="16DD39D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food that is not a drink is high in fat, salt or sugar if it scores 4 or more points under the 2004/05 Nutrient Profiling </w:t>
      </w:r>
      <w:proofErr w:type="gramStart"/>
      <w:r w:rsidRPr="001049C7">
        <w:rPr>
          <w:rFonts w:ascii="Arial" w:eastAsia="Times New Roman" w:hAnsi="Arial" w:cs="Arial"/>
          <w:color w:val="0B0C0C"/>
          <w:sz w:val="24"/>
          <w:szCs w:val="24"/>
          <w:lang w:eastAsia="en-GB"/>
        </w:rPr>
        <w:t>Model;</w:t>
      </w:r>
      <w:proofErr w:type="gramEnd"/>
    </w:p>
    <w:p w14:paraId="40016AE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a drink is high in fat, salt or sugar if it scores 1 or more points under the 2004/05 Nutrient Profiling Model.</w:t>
      </w:r>
    </w:p>
    <w:p w14:paraId="116E68A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This paragraph applies to food which is—</w:t>
      </w:r>
    </w:p>
    <w:p w14:paraId="53B073A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provided by a charity, </w:t>
      </w:r>
      <w:proofErr w:type="gramStart"/>
      <w:r w:rsidRPr="001049C7">
        <w:rPr>
          <w:rFonts w:ascii="Arial" w:eastAsia="Times New Roman" w:hAnsi="Arial" w:cs="Arial"/>
          <w:color w:val="0B0C0C"/>
          <w:sz w:val="24"/>
          <w:szCs w:val="24"/>
          <w:lang w:eastAsia="en-GB"/>
        </w:rPr>
        <w:t>in the course of</w:t>
      </w:r>
      <w:proofErr w:type="gramEnd"/>
      <w:r w:rsidRPr="001049C7">
        <w:rPr>
          <w:rFonts w:ascii="Arial" w:eastAsia="Times New Roman" w:hAnsi="Arial" w:cs="Arial"/>
          <w:color w:val="0B0C0C"/>
          <w:sz w:val="24"/>
          <w:szCs w:val="24"/>
          <w:lang w:eastAsia="en-GB"/>
        </w:rPr>
        <w:t xml:space="preserve"> its charitable activities, free, or for a price which is less than the cost of providing that food, or</w:t>
      </w:r>
    </w:p>
    <w:p w14:paraId="3351A9F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offered for sale by or on behalf of a charity, at a single event, to raise funds for its charitable activities.</w:t>
      </w:r>
    </w:p>
    <w:p w14:paraId="5EF2D3A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(4) For the purposes of paragraph (3)—</w:t>
      </w:r>
    </w:p>
    <w:p w14:paraId="24ADB257"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(a) “charity” has the meaning given by section 1 of the Charities Act 2011</w:t>
      </w:r>
      <w:hyperlink r:id="rId9" w:anchor="fn:5" w:history="1">
        <w:r w:rsidRPr="001049C7">
          <w:rPr>
            <w:rFonts w:ascii="Arial" w:eastAsia="Times New Roman" w:hAnsi="Arial" w:cs="Arial"/>
            <w:color w:val="4C2C92"/>
            <w:sz w:val="24"/>
            <w:szCs w:val="24"/>
            <w:u w:val="single"/>
            <w:bdr w:val="none" w:sz="0" w:space="0" w:color="auto" w:frame="1"/>
            <w:vertAlign w:val="superscript"/>
            <w:lang w:eastAsia="en-GB"/>
          </w:rPr>
          <w:t>[footnote 5]</w:t>
        </w:r>
      </w:hyperlink>
      <w:r w:rsidRPr="001049C7">
        <w:rPr>
          <w:rFonts w:ascii="Arial" w:eastAsia="Times New Roman" w:hAnsi="Arial" w:cs="Arial"/>
          <w:color w:val="0B0C0C"/>
          <w:sz w:val="24"/>
          <w:szCs w:val="24"/>
          <w:lang w:eastAsia="en-GB"/>
        </w:rPr>
        <w:t>;</w:t>
      </w:r>
    </w:p>
    <w:p w14:paraId="369F67D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“charitable activity” means an activity carried out for a charitable purpose, other than primarily for the purpose of raising </w:t>
      </w:r>
      <w:proofErr w:type="gramStart"/>
      <w:r w:rsidRPr="001049C7">
        <w:rPr>
          <w:rFonts w:ascii="Arial" w:eastAsia="Times New Roman" w:hAnsi="Arial" w:cs="Arial"/>
          <w:color w:val="0B0C0C"/>
          <w:sz w:val="24"/>
          <w:szCs w:val="24"/>
          <w:lang w:eastAsia="en-GB"/>
        </w:rPr>
        <w:t>funds;</w:t>
      </w:r>
      <w:proofErr w:type="gramEnd"/>
    </w:p>
    <w:p w14:paraId="0F269F58" w14:textId="77777777" w:rsidR="001049C7" w:rsidRDefault="003B319C" w:rsidP="001049C7">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“charitable purpose” has the meaning given by section 2(1) of the Charities Act 2011 (reading the reference in section 2(1) to the law of England and Wales as including a reference to the law of Scotland and the law of Northern Ireland).</w:t>
      </w:r>
    </w:p>
    <w:p w14:paraId="08822046" w14:textId="362D9E82" w:rsidR="003B319C" w:rsidRPr="001049C7" w:rsidRDefault="003B319C" w:rsidP="001049C7">
      <w:pPr>
        <w:spacing w:before="300" w:after="300" w:line="240" w:lineRule="auto"/>
        <w:textAlignment w:val="baseline"/>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Qualifying businesses</w:t>
      </w:r>
    </w:p>
    <w:p w14:paraId="031CC90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4.</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For the purposes of these Regulations a business is a “qualifying business” if—</w:t>
      </w:r>
    </w:p>
    <w:p w14:paraId="0259538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 it sells to consumers (whether in store or online)—</w:t>
      </w:r>
    </w:p>
    <w:p w14:paraId="37E66C8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any prepacked food, or</w:t>
      </w:r>
    </w:p>
    <w:p w14:paraId="1DDDC1D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(ii) any drinks to which regulation 6(1) applies,</w:t>
      </w:r>
    </w:p>
    <w:p w14:paraId="5F6228A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on the first day of the financial year during which any such sale took place, it had 50 or more employees, and</w:t>
      </w:r>
    </w:p>
    <w:p w14:paraId="53BE567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it is not an exempt business.</w:t>
      </w:r>
    </w:p>
    <w:p w14:paraId="4807541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A business is an exempt business if it is—</w:t>
      </w:r>
    </w:p>
    <w:p w14:paraId="5C30E54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an institution providing education to pupils below the age of </w:t>
      </w:r>
      <w:proofErr w:type="gramStart"/>
      <w:r w:rsidRPr="001049C7">
        <w:rPr>
          <w:rFonts w:ascii="Arial" w:eastAsia="Times New Roman" w:hAnsi="Arial" w:cs="Arial"/>
          <w:color w:val="0B0C0C"/>
          <w:sz w:val="24"/>
          <w:szCs w:val="24"/>
          <w:lang w:eastAsia="en-GB"/>
        </w:rPr>
        <w:t>18;</w:t>
      </w:r>
      <w:proofErr w:type="gramEnd"/>
    </w:p>
    <w:p w14:paraId="5AD9554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a canteen at a </w:t>
      </w:r>
      <w:proofErr w:type="gramStart"/>
      <w:r w:rsidRPr="001049C7">
        <w:rPr>
          <w:rFonts w:ascii="Arial" w:eastAsia="Times New Roman" w:hAnsi="Arial" w:cs="Arial"/>
          <w:color w:val="0B0C0C"/>
          <w:sz w:val="24"/>
          <w:szCs w:val="24"/>
          <w:lang w:eastAsia="en-GB"/>
        </w:rPr>
        <w:t>work-place</w:t>
      </w:r>
      <w:proofErr w:type="gramEnd"/>
      <w:r w:rsidRPr="001049C7">
        <w:rPr>
          <w:rFonts w:ascii="Arial" w:eastAsia="Times New Roman" w:hAnsi="Arial" w:cs="Arial"/>
          <w:color w:val="0B0C0C"/>
          <w:sz w:val="24"/>
          <w:szCs w:val="24"/>
          <w:lang w:eastAsia="en-GB"/>
        </w:rPr>
        <w:t xml:space="preserve"> unless paragraph (3) applies;</w:t>
      </w:r>
    </w:p>
    <w:p w14:paraId="5EA92EE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a military establishment or prison (other than a restaurant run at a prison which offers food to the public</w:t>
      </w:r>
      <w:proofErr w:type="gramStart"/>
      <w:r w:rsidRPr="001049C7">
        <w:rPr>
          <w:rFonts w:ascii="Arial" w:eastAsia="Times New Roman" w:hAnsi="Arial" w:cs="Arial"/>
          <w:color w:val="0B0C0C"/>
          <w:sz w:val="24"/>
          <w:szCs w:val="24"/>
          <w:lang w:eastAsia="en-GB"/>
        </w:rPr>
        <w:t>);</w:t>
      </w:r>
      <w:proofErr w:type="gramEnd"/>
    </w:p>
    <w:p w14:paraId="1B7930E8"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 a care home (within the meaning of section 3 of the Care Standards Act 2000</w:t>
      </w:r>
      <w:hyperlink r:id="rId10" w:anchor="fn:6" w:history="1">
        <w:r w:rsidRPr="001049C7">
          <w:rPr>
            <w:rFonts w:ascii="Arial" w:eastAsia="Times New Roman" w:hAnsi="Arial" w:cs="Arial"/>
            <w:color w:val="4C2C92"/>
            <w:sz w:val="24"/>
            <w:szCs w:val="24"/>
            <w:u w:val="single"/>
            <w:bdr w:val="none" w:sz="0" w:space="0" w:color="auto" w:frame="1"/>
            <w:vertAlign w:val="superscript"/>
            <w:lang w:eastAsia="en-GB"/>
          </w:rPr>
          <w:t>[footnote 6]</w:t>
        </w:r>
      </w:hyperlink>
      <w:r w:rsidRPr="001049C7">
        <w:rPr>
          <w:rFonts w:ascii="Arial" w:eastAsia="Times New Roman" w:hAnsi="Arial" w:cs="Arial"/>
          <w:color w:val="0B0C0C"/>
          <w:sz w:val="24"/>
          <w:szCs w:val="24"/>
          <w:lang w:eastAsia="en-GB"/>
        </w:rPr>
        <w:t>) which only provides food to residents of the care home and charges for that service as part of the cost of the accommodation.</w:t>
      </w:r>
    </w:p>
    <w:p w14:paraId="1355F7B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This paragraph applies if the catering services at a work-place canteen are provided for the employer by another business having 50 or more employees on the first day of the financial year during which any such services are provided.</w:t>
      </w:r>
    </w:p>
    <w:p w14:paraId="640D139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(4) For the purposes of determining how many employees a business has, a business that is carried on pursuant to a franchise agreement is to be treated as part of the business of the franchisor and not as a separate business carried on by the franchisee.</w:t>
      </w:r>
    </w:p>
    <w:p w14:paraId="64B5D8E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(5) For the purposes of paragraph (4), a “franchise agreement” exists where one undertaking (“the franchisee”) and another undertaking (“the franchisor”) agree that </w:t>
      </w:r>
      <w:r w:rsidRPr="001049C7">
        <w:rPr>
          <w:rFonts w:ascii="Arial" w:eastAsia="Times New Roman" w:hAnsi="Arial" w:cs="Arial"/>
          <w:color w:val="0B0C0C"/>
          <w:sz w:val="24"/>
          <w:szCs w:val="24"/>
          <w:lang w:eastAsia="en-GB"/>
        </w:rPr>
        <w:lastRenderedPageBreak/>
        <w:t>the franchisee carries on a business activity which includes the sale or distribution of food (“the franchise business”), and paragraph (6) applies to the franchise business.</w:t>
      </w:r>
    </w:p>
    <w:p w14:paraId="2F4F0D94"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(6) This paragraph applies if one or more of—</w:t>
      </w:r>
    </w:p>
    <w:p w14:paraId="06C8C3A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the products provided in the franchise </w:t>
      </w:r>
      <w:proofErr w:type="gramStart"/>
      <w:r w:rsidRPr="001049C7">
        <w:rPr>
          <w:rFonts w:ascii="Arial" w:eastAsia="Times New Roman" w:hAnsi="Arial" w:cs="Arial"/>
          <w:color w:val="0B0C0C"/>
          <w:sz w:val="24"/>
          <w:szCs w:val="24"/>
          <w:lang w:eastAsia="en-GB"/>
        </w:rPr>
        <w:t>business;</w:t>
      </w:r>
      <w:proofErr w:type="gramEnd"/>
    </w:p>
    <w:p w14:paraId="5F07A6AD"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the internal or external appearance of the premises where the franchise business is carried on; or</w:t>
      </w:r>
    </w:p>
    <w:p w14:paraId="43922B1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(c) the business model used for the operation of the franchise business, are agreed by the franchisor, and are </w:t>
      </w:r>
      <w:proofErr w:type="gramStart"/>
      <w:r w:rsidRPr="001049C7">
        <w:rPr>
          <w:rFonts w:ascii="Arial" w:eastAsia="Times New Roman" w:hAnsi="Arial" w:cs="Arial"/>
          <w:color w:val="0B0C0C"/>
          <w:sz w:val="24"/>
          <w:szCs w:val="24"/>
          <w:lang w:eastAsia="en-GB"/>
        </w:rPr>
        <w:t>similar to</w:t>
      </w:r>
      <w:proofErr w:type="gramEnd"/>
      <w:r w:rsidRPr="001049C7">
        <w:rPr>
          <w:rFonts w:ascii="Arial" w:eastAsia="Times New Roman" w:hAnsi="Arial" w:cs="Arial"/>
          <w:color w:val="0B0C0C"/>
          <w:sz w:val="24"/>
          <w:szCs w:val="24"/>
          <w:lang w:eastAsia="en-GB"/>
        </w:rPr>
        <w:t xml:space="preserve"> that of other undertakings in respect of which the franchisor has entered into comparable contractual arrangements.</w:t>
      </w:r>
    </w:p>
    <w:p w14:paraId="598BEEF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(7) For the purposes of this regulation—</w:t>
      </w:r>
    </w:p>
    <w:p w14:paraId="685A685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the employees of a business are the persons who are employed for the purposes of the </w:t>
      </w:r>
      <w:proofErr w:type="gramStart"/>
      <w:r w:rsidRPr="001049C7">
        <w:rPr>
          <w:rFonts w:ascii="Arial" w:eastAsia="Times New Roman" w:hAnsi="Arial" w:cs="Arial"/>
          <w:color w:val="0B0C0C"/>
          <w:sz w:val="24"/>
          <w:szCs w:val="24"/>
          <w:lang w:eastAsia="en-GB"/>
        </w:rPr>
        <w:t>business;</w:t>
      </w:r>
      <w:proofErr w:type="gramEnd"/>
    </w:p>
    <w:p w14:paraId="6F62CFA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“employee” means an individual who has entered into, or works under, a contract of employment, whether that contract is for full-time or part-time </w:t>
      </w:r>
      <w:proofErr w:type="gramStart"/>
      <w:r w:rsidRPr="001049C7">
        <w:rPr>
          <w:rFonts w:ascii="Arial" w:eastAsia="Times New Roman" w:hAnsi="Arial" w:cs="Arial"/>
          <w:color w:val="0B0C0C"/>
          <w:sz w:val="24"/>
          <w:szCs w:val="24"/>
          <w:lang w:eastAsia="en-GB"/>
        </w:rPr>
        <w:t>employment;</w:t>
      </w:r>
      <w:proofErr w:type="gramEnd"/>
    </w:p>
    <w:p w14:paraId="3CC58DB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(c) “contract of employment” means a contract of service, whether express or implied, and (if it is express) whether oral or in </w:t>
      </w:r>
      <w:proofErr w:type="gramStart"/>
      <w:r w:rsidRPr="001049C7">
        <w:rPr>
          <w:rFonts w:ascii="Arial" w:eastAsia="Times New Roman" w:hAnsi="Arial" w:cs="Arial"/>
          <w:color w:val="0B0C0C"/>
          <w:sz w:val="24"/>
          <w:szCs w:val="24"/>
          <w:lang w:eastAsia="en-GB"/>
        </w:rPr>
        <w:t>writing;</w:t>
      </w:r>
      <w:proofErr w:type="gramEnd"/>
    </w:p>
    <w:p w14:paraId="01DA811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(d) “financial year” means the 12-month period ending on 31st </w:t>
      </w:r>
      <w:proofErr w:type="gramStart"/>
      <w:r w:rsidRPr="001049C7">
        <w:rPr>
          <w:rFonts w:ascii="Arial" w:eastAsia="Times New Roman" w:hAnsi="Arial" w:cs="Arial"/>
          <w:color w:val="0B0C0C"/>
          <w:sz w:val="24"/>
          <w:szCs w:val="24"/>
          <w:lang w:eastAsia="en-GB"/>
        </w:rPr>
        <w:t>March;</w:t>
      </w:r>
      <w:proofErr w:type="gramEnd"/>
    </w:p>
    <w:p w14:paraId="36983B5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(e) “military establishment” means an establishment intended for use for naval, military or air force purposes or for the purposes of the Department of the Secretary of State responsible for </w:t>
      </w:r>
      <w:proofErr w:type="gramStart"/>
      <w:r w:rsidRPr="001049C7">
        <w:rPr>
          <w:rFonts w:ascii="Arial" w:eastAsia="Times New Roman" w:hAnsi="Arial" w:cs="Arial"/>
          <w:color w:val="0B0C0C"/>
          <w:sz w:val="24"/>
          <w:szCs w:val="24"/>
          <w:lang w:eastAsia="en-GB"/>
        </w:rPr>
        <w:t>defence;</w:t>
      </w:r>
      <w:proofErr w:type="gramEnd"/>
    </w:p>
    <w:p w14:paraId="0929FBA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(f) “prison”—</w:t>
      </w:r>
    </w:p>
    <w:p w14:paraId="2AA76413"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includes any youth detention accommodation within the meaning of section 107(1) (detention and training orders) of the Powers of Criminal Courts (Sentencing) Act 2000</w:t>
      </w:r>
      <w:hyperlink r:id="rId11" w:anchor="fn:7" w:history="1">
        <w:r w:rsidRPr="001049C7">
          <w:rPr>
            <w:rFonts w:ascii="Arial" w:eastAsia="Times New Roman" w:hAnsi="Arial" w:cs="Arial"/>
            <w:color w:val="4C2C92"/>
            <w:sz w:val="24"/>
            <w:szCs w:val="24"/>
            <w:u w:val="single"/>
            <w:bdr w:val="none" w:sz="0" w:space="0" w:color="auto" w:frame="1"/>
            <w:vertAlign w:val="superscript"/>
            <w:lang w:eastAsia="en-GB"/>
          </w:rPr>
          <w:t>[footnote 7]</w:t>
        </w:r>
      </w:hyperlink>
      <w:r w:rsidRPr="001049C7">
        <w:rPr>
          <w:rFonts w:ascii="Arial" w:eastAsia="Times New Roman" w:hAnsi="Arial" w:cs="Arial"/>
          <w:color w:val="0B0C0C"/>
          <w:sz w:val="24"/>
          <w:szCs w:val="24"/>
          <w:lang w:eastAsia="en-GB"/>
        </w:rPr>
        <w:t>, but</w:t>
      </w:r>
    </w:p>
    <w:p w14:paraId="0854194B" w14:textId="77777777" w:rsidR="00CB025F" w:rsidRDefault="003B319C" w:rsidP="00CB025F">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(ii) does not include any naval, military or air force prison.</w:t>
      </w:r>
      <w:r w:rsidR="00CB025F">
        <w:rPr>
          <w:rFonts w:ascii="Arial" w:eastAsia="Times New Roman" w:hAnsi="Arial" w:cs="Arial"/>
          <w:color w:val="0B0C0C"/>
          <w:sz w:val="24"/>
          <w:szCs w:val="24"/>
          <w:lang w:eastAsia="en-GB"/>
        </w:rPr>
        <w:t xml:space="preserve"> </w:t>
      </w:r>
    </w:p>
    <w:p w14:paraId="6DE74E1B" w14:textId="50AFEE41" w:rsidR="003B319C" w:rsidRPr="001049C7" w:rsidRDefault="003B319C" w:rsidP="00CB025F">
      <w:pPr>
        <w:spacing w:before="300" w:after="300" w:line="240" w:lineRule="auto"/>
        <w:textAlignment w:val="baseline"/>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Restrictions on the price promotion of specified food</w:t>
      </w:r>
    </w:p>
    <w:p w14:paraId="5DAC494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5.</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Subject to paragraph (5), a qualifying business must not offer volume price promotions on specified food (whether the specified food is offered in store or online).</w:t>
      </w:r>
    </w:p>
    <w:p w14:paraId="35844984"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“Volume price promotion” means—</w:t>
      </w:r>
    </w:p>
    <w:p w14:paraId="2F05182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(a) a multibuy promotion, meaning the offer of a discount or special price for buying multiple items compared with the price for buying each item separately (for example “three for the price of two”, “3 for £10”, “buy 6 and save 25%”</w:t>
      </w:r>
      <w:proofErr w:type="gramStart"/>
      <w:r w:rsidRPr="001049C7">
        <w:rPr>
          <w:rFonts w:ascii="Arial" w:eastAsia="Times New Roman" w:hAnsi="Arial" w:cs="Arial"/>
          <w:color w:val="0B0C0C"/>
          <w:sz w:val="24"/>
          <w:szCs w:val="24"/>
          <w:lang w:eastAsia="en-GB"/>
        </w:rPr>
        <w:t>);</w:t>
      </w:r>
      <w:proofErr w:type="gramEnd"/>
    </w:p>
    <w:p w14:paraId="717D84A2"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a promotion that indicates that a product, or any part of a product, is free (for example “fifty per cent extra free”, or “buy one get one free”).</w:t>
      </w:r>
    </w:p>
    <w:p w14:paraId="77563894"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For the purposes of paragraph (2)(a), “multiple items” includes—</w:t>
      </w:r>
    </w:p>
    <w:p w14:paraId="41C57E2D"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more than one of the same </w:t>
      </w:r>
      <w:proofErr w:type="gramStart"/>
      <w:r w:rsidRPr="001049C7">
        <w:rPr>
          <w:rFonts w:ascii="Arial" w:eastAsia="Times New Roman" w:hAnsi="Arial" w:cs="Arial"/>
          <w:color w:val="0B0C0C"/>
          <w:sz w:val="24"/>
          <w:szCs w:val="24"/>
          <w:lang w:eastAsia="en-GB"/>
        </w:rPr>
        <w:t>item</w:t>
      </w:r>
      <w:proofErr w:type="gramEnd"/>
      <w:r w:rsidRPr="001049C7">
        <w:rPr>
          <w:rFonts w:ascii="Arial" w:eastAsia="Times New Roman" w:hAnsi="Arial" w:cs="Arial"/>
          <w:color w:val="0B0C0C"/>
          <w:sz w:val="24"/>
          <w:szCs w:val="24"/>
          <w:lang w:eastAsia="en-GB"/>
        </w:rPr>
        <w:t>; and</w:t>
      </w:r>
    </w:p>
    <w:p w14:paraId="50865A4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different items from within one of the categories in Schedule 1.</w:t>
      </w:r>
    </w:p>
    <w:p w14:paraId="4D42AFD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(4) This regulation applies to promotions that are included on the packaging of food as well as to promotions that are communicated to a consumer via other means.</w:t>
      </w:r>
    </w:p>
    <w:p w14:paraId="1E21E2B4" w14:textId="77777777" w:rsidR="00CB025F" w:rsidRDefault="003B319C" w:rsidP="00CB025F">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(5) Where the packaging of specified food includes a volume price promotion, a qualifying business may offer the specified food for sale until 5 April 2023.</w:t>
      </w:r>
      <w:r w:rsidR="00CB025F">
        <w:rPr>
          <w:rFonts w:ascii="Arial" w:eastAsia="Times New Roman" w:hAnsi="Arial" w:cs="Arial"/>
          <w:color w:val="0B0C0C"/>
          <w:sz w:val="24"/>
          <w:szCs w:val="24"/>
          <w:lang w:eastAsia="en-GB"/>
        </w:rPr>
        <w:t xml:space="preserve"> </w:t>
      </w:r>
    </w:p>
    <w:p w14:paraId="187247FF" w14:textId="3A099EE7" w:rsidR="003B319C" w:rsidRPr="001049C7" w:rsidRDefault="003B319C" w:rsidP="00CB025F">
      <w:pPr>
        <w:spacing w:before="300" w:after="300" w:line="240" w:lineRule="auto"/>
        <w:textAlignment w:val="baseline"/>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Restrictions on the price promotion of certain drinks</w:t>
      </w:r>
    </w:p>
    <w:p w14:paraId="7340C4B2"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6.</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This regulation applies to drinks which are not prepacked food and which—</w:t>
      </w:r>
    </w:p>
    <w:p w14:paraId="16C6D04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 fall within category 1 of Schedule 1,</w:t>
      </w:r>
    </w:p>
    <w:p w14:paraId="6432330D"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are high in fat, salt or sugar by virtue of scoring 1 or more points under the 2004/05 Nutrient Profiling Model, and</w:t>
      </w:r>
    </w:p>
    <w:p w14:paraId="74DD571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are not food to which regulation 3(3) (charity food sales) applies.</w:t>
      </w:r>
    </w:p>
    <w:p w14:paraId="6A62A6E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A qualifying business must not offer a free refill promotion on drinks to which this regulation applies.</w:t>
      </w:r>
    </w:p>
    <w:p w14:paraId="58EAEE6F" w14:textId="77777777" w:rsidR="00CB025F" w:rsidRDefault="003B319C" w:rsidP="00CB025F">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In paragraph (2), “free refill promotion” means a promotion that offers the consumer the same drink, or another drink to which this regulation applies, for free (including free top-ups of any part of a drink).</w:t>
      </w:r>
      <w:r w:rsidR="00CB025F">
        <w:rPr>
          <w:rFonts w:ascii="Arial" w:eastAsia="Times New Roman" w:hAnsi="Arial" w:cs="Arial"/>
          <w:color w:val="0B0C0C"/>
          <w:sz w:val="24"/>
          <w:szCs w:val="24"/>
          <w:lang w:eastAsia="en-GB"/>
        </w:rPr>
        <w:t xml:space="preserve"> </w:t>
      </w:r>
    </w:p>
    <w:p w14:paraId="427DF6D0" w14:textId="1AA8CDC6" w:rsidR="003B319C" w:rsidRPr="001049C7" w:rsidRDefault="003B319C" w:rsidP="00CB025F">
      <w:pPr>
        <w:spacing w:before="300" w:after="300" w:line="240" w:lineRule="auto"/>
        <w:textAlignment w:val="baseline"/>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Restrictions on the placement of specified food – in store</w:t>
      </w:r>
    </w:p>
    <w:p w14:paraId="75726B7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7.</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Subject to paragraph (3), a qualifying business must not place specified food inside a physical store —</w:t>
      </w:r>
    </w:p>
    <w:p w14:paraId="4192AA1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within two metres of a checkout </w:t>
      </w:r>
      <w:proofErr w:type="gramStart"/>
      <w:r w:rsidRPr="001049C7">
        <w:rPr>
          <w:rFonts w:ascii="Arial" w:eastAsia="Times New Roman" w:hAnsi="Arial" w:cs="Arial"/>
          <w:color w:val="0B0C0C"/>
          <w:sz w:val="24"/>
          <w:szCs w:val="24"/>
          <w:lang w:eastAsia="en-GB"/>
        </w:rPr>
        <w:t>area;</w:t>
      </w:r>
      <w:proofErr w:type="gramEnd"/>
    </w:p>
    <w:p w14:paraId="3295501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within two metres of a designated queuing area, unless the specified food is placed in a main shopping </w:t>
      </w:r>
      <w:proofErr w:type="gramStart"/>
      <w:r w:rsidRPr="001049C7">
        <w:rPr>
          <w:rFonts w:ascii="Arial" w:eastAsia="Times New Roman" w:hAnsi="Arial" w:cs="Arial"/>
          <w:color w:val="0B0C0C"/>
          <w:sz w:val="24"/>
          <w:szCs w:val="24"/>
          <w:lang w:eastAsia="en-GB"/>
        </w:rPr>
        <w:t>aisle;</w:t>
      </w:r>
      <w:proofErr w:type="gramEnd"/>
    </w:p>
    <w:p w14:paraId="252E3A4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(c) in an end-of-aisle </w:t>
      </w:r>
      <w:proofErr w:type="gramStart"/>
      <w:r w:rsidRPr="001049C7">
        <w:rPr>
          <w:rFonts w:ascii="Arial" w:eastAsia="Times New Roman" w:hAnsi="Arial" w:cs="Arial"/>
          <w:color w:val="0B0C0C"/>
          <w:sz w:val="24"/>
          <w:szCs w:val="24"/>
          <w:lang w:eastAsia="en-GB"/>
        </w:rPr>
        <w:t>display;</w:t>
      </w:r>
      <w:proofErr w:type="gramEnd"/>
    </w:p>
    <w:p w14:paraId="797D966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(d) [OPTION 1: in the prohibited entrance area</w:t>
      </w:r>
      <w:proofErr w:type="gramStart"/>
      <w:r w:rsidRPr="001049C7">
        <w:rPr>
          <w:rFonts w:ascii="Arial" w:eastAsia="Times New Roman" w:hAnsi="Arial" w:cs="Arial"/>
          <w:color w:val="0B0C0C"/>
          <w:sz w:val="24"/>
          <w:szCs w:val="24"/>
          <w:lang w:eastAsia="en-GB"/>
        </w:rPr>
        <w:t>];</w:t>
      </w:r>
      <w:proofErr w:type="gramEnd"/>
    </w:p>
    <w:p w14:paraId="620079A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(e) [OPTION 2: at any point within the prohibited distance of the midpoint of any public entrance to the store’s main shopping area</w:t>
      </w:r>
      <w:proofErr w:type="gramStart"/>
      <w:r w:rsidRPr="001049C7">
        <w:rPr>
          <w:rFonts w:ascii="Arial" w:eastAsia="Times New Roman" w:hAnsi="Arial" w:cs="Arial"/>
          <w:color w:val="0B0C0C"/>
          <w:sz w:val="24"/>
          <w:szCs w:val="24"/>
          <w:lang w:eastAsia="en-GB"/>
        </w:rPr>
        <w:t>];</w:t>
      </w:r>
      <w:proofErr w:type="gramEnd"/>
    </w:p>
    <w:p w14:paraId="47482CB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(f) in a covered external area.</w:t>
      </w:r>
    </w:p>
    <w:p w14:paraId="36E8975D"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In paragraph (1)—</w:t>
      </w:r>
    </w:p>
    <w:p w14:paraId="1403A2A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 “checkout area” means a point in the store intended to be used by consumers to pay for products, including a self-checkout till and a counter at which a cash register is used (including the area behind such a counter</w:t>
      </w:r>
      <w:proofErr w:type="gramStart"/>
      <w:r w:rsidRPr="001049C7">
        <w:rPr>
          <w:rFonts w:ascii="Arial" w:eastAsia="Times New Roman" w:hAnsi="Arial" w:cs="Arial"/>
          <w:color w:val="0B0C0C"/>
          <w:sz w:val="24"/>
          <w:szCs w:val="24"/>
          <w:lang w:eastAsia="en-GB"/>
        </w:rPr>
        <w:t>);</w:t>
      </w:r>
      <w:proofErr w:type="gramEnd"/>
    </w:p>
    <w:p w14:paraId="6A84A32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“designated queuing area” means an area where consumers are intended to queue when waiting to complete a </w:t>
      </w:r>
      <w:proofErr w:type="gramStart"/>
      <w:r w:rsidRPr="001049C7">
        <w:rPr>
          <w:rFonts w:ascii="Arial" w:eastAsia="Times New Roman" w:hAnsi="Arial" w:cs="Arial"/>
          <w:color w:val="0B0C0C"/>
          <w:sz w:val="24"/>
          <w:szCs w:val="24"/>
          <w:lang w:eastAsia="en-GB"/>
        </w:rPr>
        <w:t>purchase;</w:t>
      </w:r>
      <w:proofErr w:type="gramEnd"/>
    </w:p>
    <w:p w14:paraId="7D742D5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[OPTION 1: “prohibited entrance area” means an area immediately inside each public entrance to the store’s main shopping area, being a square—</w:t>
      </w:r>
    </w:p>
    <w:p w14:paraId="6CFC4D7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of area equal to the smaller of 225m2 or 5% of the store’s floor area, and</w:t>
      </w:r>
    </w:p>
    <w:p w14:paraId="263435E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(ii) drawn so one edge of the square coincides with the line of the entrance, with the midpoint of that edge coinciding with the midpoint of the entrance.</w:t>
      </w:r>
    </w:p>
    <w:p w14:paraId="3C03D16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irrespective of whether such area is obstructed by walls or other structural features of the store</w:t>
      </w:r>
      <w:proofErr w:type="gramStart"/>
      <w:r w:rsidRPr="001049C7">
        <w:rPr>
          <w:rFonts w:ascii="Arial" w:eastAsia="Times New Roman" w:hAnsi="Arial" w:cs="Arial"/>
          <w:color w:val="0B0C0C"/>
          <w:sz w:val="24"/>
          <w:szCs w:val="24"/>
          <w:lang w:eastAsia="en-GB"/>
        </w:rPr>
        <w:t>];</w:t>
      </w:r>
      <w:proofErr w:type="gramEnd"/>
    </w:p>
    <w:p w14:paraId="79844B8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 [OPTION 2: “the prohibited distance” means a distance being the smaller of 15m or the following—</w:t>
      </w:r>
    </w:p>
    <w:p w14:paraId="635188D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(square root of (0.05 x area))</w:t>
      </w:r>
    </w:p>
    <w:p w14:paraId="49FAF552"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This regulation does not apply to—</w:t>
      </w:r>
    </w:p>
    <w:p w14:paraId="3BA22F7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 stores with a floor area of less than 185.</w:t>
      </w:r>
      <w:proofErr w:type="gramStart"/>
      <w:r w:rsidRPr="001049C7">
        <w:rPr>
          <w:rFonts w:ascii="Arial" w:eastAsia="Times New Roman" w:hAnsi="Arial" w:cs="Arial"/>
          <w:color w:val="0B0C0C"/>
          <w:sz w:val="24"/>
          <w:szCs w:val="24"/>
          <w:lang w:eastAsia="en-GB"/>
        </w:rPr>
        <w:t>8m2;</w:t>
      </w:r>
      <w:proofErr w:type="gramEnd"/>
    </w:p>
    <w:p w14:paraId="5804D36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stores which only or mainly sell food from a single category listed in Schedule 1.</w:t>
      </w:r>
    </w:p>
    <w:p w14:paraId="4C2F266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(4) In this regulation—</w:t>
      </w:r>
    </w:p>
    <w:p w14:paraId="47E2282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 “covered external area” means a covered area outside a store’s main shopping area connected to the store and through which the public passes to enter the store (such as a foyer, lobby or vestibule</w:t>
      </w:r>
      <w:proofErr w:type="gramStart"/>
      <w:r w:rsidRPr="001049C7">
        <w:rPr>
          <w:rFonts w:ascii="Arial" w:eastAsia="Times New Roman" w:hAnsi="Arial" w:cs="Arial"/>
          <w:color w:val="0B0C0C"/>
          <w:sz w:val="24"/>
          <w:szCs w:val="24"/>
          <w:lang w:eastAsia="en-GB"/>
        </w:rPr>
        <w:t>);</w:t>
      </w:r>
      <w:proofErr w:type="gramEnd"/>
    </w:p>
    <w:p w14:paraId="4A2AF9A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“floor area” means an area equal to the store’s main shopping </w:t>
      </w:r>
      <w:proofErr w:type="gramStart"/>
      <w:r w:rsidRPr="001049C7">
        <w:rPr>
          <w:rFonts w:ascii="Arial" w:eastAsia="Times New Roman" w:hAnsi="Arial" w:cs="Arial"/>
          <w:color w:val="0B0C0C"/>
          <w:sz w:val="24"/>
          <w:szCs w:val="24"/>
          <w:lang w:eastAsia="en-GB"/>
        </w:rPr>
        <w:t>area;</w:t>
      </w:r>
      <w:proofErr w:type="gramEnd"/>
    </w:p>
    <w:p w14:paraId="52D82A17" w14:textId="77777777" w:rsidR="00CB025F" w:rsidRDefault="003B319C" w:rsidP="00CB025F">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(c) “main shopping area” includes all service areas accessible to the public (such as deli and checkout counters and the areas behind them) but excludes external </w:t>
      </w:r>
      <w:r w:rsidRPr="001049C7">
        <w:rPr>
          <w:rFonts w:ascii="Arial" w:eastAsia="Times New Roman" w:hAnsi="Arial" w:cs="Arial"/>
          <w:color w:val="0B0C0C"/>
          <w:sz w:val="24"/>
          <w:szCs w:val="24"/>
          <w:lang w:eastAsia="en-GB"/>
        </w:rPr>
        <w:lastRenderedPageBreak/>
        <w:t>covered areas and areas with no public access (such as backrooms and storerooms).</w:t>
      </w:r>
      <w:r w:rsidR="00CB025F">
        <w:rPr>
          <w:rFonts w:ascii="Arial" w:eastAsia="Times New Roman" w:hAnsi="Arial" w:cs="Arial"/>
          <w:color w:val="0B0C0C"/>
          <w:sz w:val="24"/>
          <w:szCs w:val="24"/>
          <w:lang w:eastAsia="en-GB"/>
        </w:rPr>
        <w:t xml:space="preserve"> </w:t>
      </w:r>
    </w:p>
    <w:p w14:paraId="46D1425D" w14:textId="1330D13F" w:rsidR="003B319C" w:rsidRPr="001049C7" w:rsidRDefault="003B319C" w:rsidP="00CB025F">
      <w:pPr>
        <w:spacing w:before="300" w:after="300" w:line="240" w:lineRule="auto"/>
        <w:textAlignment w:val="baseline"/>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Restrictions on the promotion of specified food – online</w:t>
      </w:r>
    </w:p>
    <w:p w14:paraId="64EBCF9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8.</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Subject to paragraphs (3) and (4), a qualifying business must not promote specified food on an online marketplace—</w:t>
      </w:r>
    </w:p>
    <w:p w14:paraId="45888E1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 on an entry page (whether or not the consumer enters the online marketplace via the entry page</w:t>
      </w:r>
      <w:proofErr w:type="gramStart"/>
      <w:r w:rsidRPr="001049C7">
        <w:rPr>
          <w:rFonts w:ascii="Arial" w:eastAsia="Times New Roman" w:hAnsi="Arial" w:cs="Arial"/>
          <w:color w:val="0B0C0C"/>
          <w:sz w:val="24"/>
          <w:szCs w:val="24"/>
          <w:lang w:eastAsia="en-GB"/>
        </w:rPr>
        <w:t>);</w:t>
      </w:r>
      <w:proofErr w:type="gramEnd"/>
    </w:p>
    <w:p w14:paraId="22C07402"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while a consumer is searching for or browsing products other than specified </w:t>
      </w:r>
      <w:proofErr w:type="gramStart"/>
      <w:r w:rsidRPr="001049C7">
        <w:rPr>
          <w:rFonts w:ascii="Arial" w:eastAsia="Times New Roman" w:hAnsi="Arial" w:cs="Arial"/>
          <w:color w:val="0B0C0C"/>
          <w:sz w:val="24"/>
          <w:szCs w:val="24"/>
          <w:lang w:eastAsia="en-GB"/>
        </w:rPr>
        <w:t>food;</w:t>
      </w:r>
      <w:proofErr w:type="gramEnd"/>
    </w:p>
    <w:p w14:paraId="4C2F2E2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(c) while a consumer is searching for or browsing specified food, unless the promoted food falls within the same Schedule 1 </w:t>
      </w:r>
      <w:proofErr w:type="gramStart"/>
      <w:r w:rsidRPr="001049C7">
        <w:rPr>
          <w:rFonts w:ascii="Arial" w:eastAsia="Times New Roman" w:hAnsi="Arial" w:cs="Arial"/>
          <w:color w:val="0B0C0C"/>
          <w:sz w:val="24"/>
          <w:szCs w:val="24"/>
          <w:lang w:eastAsia="en-GB"/>
        </w:rPr>
        <w:t>category;</w:t>
      </w:r>
      <w:proofErr w:type="gramEnd"/>
    </w:p>
    <w:p w14:paraId="490AFF5D"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 on a page not opened intentionally by the consumer (such as a “pop-up” or “pop-under” page</w:t>
      </w:r>
      <w:proofErr w:type="gramStart"/>
      <w:r w:rsidRPr="001049C7">
        <w:rPr>
          <w:rFonts w:ascii="Arial" w:eastAsia="Times New Roman" w:hAnsi="Arial" w:cs="Arial"/>
          <w:color w:val="0B0C0C"/>
          <w:sz w:val="24"/>
          <w:szCs w:val="24"/>
          <w:lang w:eastAsia="en-GB"/>
        </w:rPr>
        <w:t>);</w:t>
      </w:r>
      <w:proofErr w:type="gramEnd"/>
    </w:p>
    <w:p w14:paraId="45F3612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(e) on a favourite products page, unless the consumer has previously purchased the promoted food or intentionally identified it as a favourite </w:t>
      </w:r>
      <w:proofErr w:type="gramStart"/>
      <w:r w:rsidRPr="001049C7">
        <w:rPr>
          <w:rFonts w:ascii="Arial" w:eastAsia="Times New Roman" w:hAnsi="Arial" w:cs="Arial"/>
          <w:color w:val="0B0C0C"/>
          <w:sz w:val="24"/>
          <w:szCs w:val="24"/>
          <w:lang w:eastAsia="en-GB"/>
        </w:rPr>
        <w:t>product;</w:t>
      </w:r>
      <w:proofErr w:type="gramEnd"/>
    </w:p>
    <w:p w14:paraId="24E33B9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(f) on a checkout page.</w:t>
      </w:r>
    </w:p>
    <w:p w14:paraId="3C71AD3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For the purposes of this regulation—</w:t>
      </w:r>
    </w:p>
    <w:p w14:paraId="700F6BB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 “entry page” means any of—</w:t>
      </w:r>
    </w:p>
    <w:p w14:paraId="1AA3A5D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xml:space="preserve">) an online marketplace’s highest level public </w:t>
      </w:r>
      <w:proofErr w:type="gramStart"/>
      <w:r w:rsidRPr="001049C7">
        <w:rPr>
          <w:rFonts w:ascii="Arial" w:eastAsia="Times New Roman" w:hAnsi="Arial" w:cs="Arial"/>
          <w:color w:val="0B0C0C"/>
          <w:sz w:val="24"/>
          <w:szCs w:val="24"/>
          <w:lang w:eastAsia="en-GB"/>
        </w:rPr>
        <w:t>page;</w:t>
      </w:r>
      <w:proofErr w:type="gramEnd"/>
    </w:p>
    <w:p w14:paraId="131F089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(ii) the </w:t>
      </w:r>
      <w:proofErr w:type="gramStart"/>
      <w:r w:rsidRPr="001049C7">
        <w:rPr>
          <w:rFonts w:ascii="Arial" w:eastAsia="Times New Roman" w:hAnsi="Arial" w:cs="Arial"/>
          <w:color w:val="0B0C0C"/>
          <w:sz w:val="24"/>
          <w:szCs w:val="24"/>
          <w:lang w:eastAsia="en-GB"/>
        </w:rPr>
        <w:t>highest level</w:t>
      </w:r>
      <w:proofErr w:type="gramEnd"/>
      <w:r w:rsidRPr="001049C7">
        <w:rPr>
          <w:rFonts w:ascii="Arial" w:eastAsia="Times New Roman" w:hAnsi="Arial" w:cs="Arial"/>
          <w:color w:val="0B0C0C"/>
          <w:sz w:val="24"/>
          <w:szCs w:val="24"/>
          <w:lang w:eastAsia="en-GB"/>
        </w:rPr>
        <w:t xml:space="preserve"> public page of an online marketplace’s grocery section;</w:t>
      </w:r>
    </w:p>
    <w:p w14:paraId="28998BF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(iii) a page containing pre-determined offers to which a consumer is directed on entering an online marketplace (a landing page</w:t>
      </w:r>
      <w:proofErr w:type="gramStart"/>
      <w:r w:rsidRPr="001049C7">
        <w:rPr>
          <w:rFonts w:ascii="Arial" w:eastAsia="Times New Roman" w:hAnsi="Arial" w:cs="Arial"/>
          <w:color w:val="0B0C0C"/>
          <w:sz w:val="24"/>
          <w:szCs w:val="24"/>
          <w:lang w:eastAsia="en-GB"/>
        </w:rPr>
        <w:t>);</w:t>
      </w:r>
      <w:proofErr w:type="gramEnd"/>
    </w:p>
    <w:p w14:paraId="259BF114"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“checkout page” means a page shown to a consumer as part of the checkout process, such as a page listing items the consumer has so far selected for purchase or a page dealing with payment, collection or </w:t>
      </w:r>
      <w:proofErr w:type="gramStart"/>
      <w:r w:rsidRPr="001049C7">
        <w:rPr>
          <w:rFonts w:ascii="Arial" w:eastAsia="Times New Roman" w:hAnsi="Arial" w:cs="Arial"/>
          <w:color w:val="0B0C0C"/>
          <w:sz w:val="24"/>
          <w:szCs w:val="24"/>
          <w:lang w:eastAsia="en-GB"/>
        </w:rPr>
        <w:t>delivery;</w:t>
      </w:r>
      <w:proofErr w:type="gramEnd"/>
    </w:p>
    <w:p w14:paraId="6A7C5E6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(c) “favourite products page” means a page opened by a consumer for the purpose of browsing products they have previously purchased or intentionally identified as favourite </w:t>
      </w:r>
      <w:proofErr w:type="gramStart"/>
      <w:r w:rsidRPr="001049C7">
        <w:rPr>
          <w:rFonts w:ascii="Arial" w:eastAsia="Times New Roman" w:hAnsi="Arial" w:cs="Arial"/>
          <w:color w:val="0B0C0C"/>
          <w:sz w:val="24"/>
          <w:szCs w:val="24"/>
          <w:lang w:eastAsia="en-GB"/>
        </w:rPr>
        <w:t>products;</w:t>
      </w:r>
      <w:proofErr w:type="gramEnd"/>
    </w:p>
    <w:p w14:paraId="403DD8CD"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 “promote”—</w:t>
      </w:r>
    </w:p>
    <w:p w14:paraId="1FB30C5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means offer for sale or otherwise present in a way intended to attract the attention of a consumer (including “in case you missed it” or, except on a favourite products page, “previously purchased” recommendations</w:t>
      </w:r>
      <w:proofErr w:type="gramStart"/>
      <w:r w:rsidRPr="001049C7">
        <w:rPr>
          <w:rFonts w:ascii="Arial" w:eastAsia="Times New Roman" w:hAnsi="Arial" w:cs="Arial"/>
          <w:color w:val="0B0C0C"/>
          <w:sz w:val="24"/>
          <w:szCs w:val="24"/>
          <w:lang w:eastAsia="en-GB"/>
        </w:rPr>
        <w:t>);</w:t>
      </w:r>
      <w:proofErr w:type="gramEnd"/>
    </w:p>
    <w:p w14:paraId="32ED0D3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(ii) does not include any presentation of third-party advertising material which is not in the direct control of the qualifying business.</w:t>
      </w:r>
    </w:p>
    <w:p w14:paraId="4B21E0B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Paragraph (1) does not prohibit promoting specified food on a page opened intentionally by a consumer for the purpose of browsing special offers generally.</w:t>
      </w:r>
    </w:p>
    <w:p w14:paraId="0AAC4112" w14:textId="77777777" w:rsid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(4) This regulation does not apply to stores which only or mainly sell food from a single category listed in Schedule 1.</w:t>
      </w:r>
      <w:r w:rsidR="00FC4F2B">
        <w:rPr>
          <w:rFonts w:ascii="Arial" w:eastAsia="Times New Roman" w:hAnsi="Arial" w:cs="Arial"/>
          <w:color w:val="0B0C0C"/>
          <w:sz w:val="24"/>
          <w:szCs w:val="24"/>
          <w:lang w:eastAsia="en-GB"/>
        </w:rPr>
        <w:t xml:space="preserve"> </w:t>
      </w:r>
    </w:p>
    <w:p w14:paraId="2F9CA0F9" w14:textId="28BA35BC" w:rsidR="003B319C" w:rsidRPr="001049C7" w:rsidRDefault="003B319C" w:rsidP="00FC4F2B">
      <w:pPr>
        <w:spacing w:before="300" w:after="300" w:line="240" w:lineRule="auto"/>
        <w:textAlignment w:val="baseline"/>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Enforcement</w:t>
      </w:r>
    </w:p>
    <w:p w14:paraId="178658FD" w14:textId="77777777" w:rsid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9. Each food authority must enforce and execute these Regulations within its area.</w:t>
      </w:r>
    </w:p>
    <w:p w14:paraId="53760DF8" w14:textId="4C955262" w:rsidR="003B319C" w:rsidRP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lang w:eastAsia="en-GB"/>
        </w:rPr>
        <w:t>Improvement notice</w:t>
      </w:r>
    </w:p>
    <w:p w14:paraId="7302C6A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10. If an authorised officer of a food authority has reasonable grounds for believing that a person is failing to comply with regulation 5, 6, 7 or 8, the authorised officer may, by a notice served on that person (in these Regulations referred to as an “improvement notice”)—</w:t>
      </w:r>
    </w:p>
    <w:p w14:paraId="4C8C9DA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state the officer’s grounds for believing that the person is failing to comply with regulation 5, 6, 7 or </w:t>
      </w:r>
      <w:proofErr w:type="gramStart"/>
      <w:r w:rsidRPr="001049C7">
        <w:rPr>
          <w:rFonts w:ascii="Arial" w:eastAsia="Times New Roman" w:hAnsi="Arial" w:cs="Arial"/>
          <w:color w:val="0B0C0C"/>
          <w:sz w:val="24"/>
          <w:szCs w:val="24"/>
          <w:lang w:eastAsia="en-GB"/>
        </w:rPr>
        <w:t>8;</w:t>
      </w:r>
      <w:proofErr w:type="gramEnd"/>
    </w:p>
    <w:p w14:paraId="498A1D5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specify the matters which constitute the person’s failure so to </w:t>
      </w:r>
      <w:proofErr w:type="gramStart"/>
      <w:r w:rsidRPr="001049C7">
        <w:rPr>
          <w:rFonts w:ascii="Arial" w:eastAsia="Times New Roman" w:hAnsi="Arial" w:cs="Arial"/>
          <w:color w:val="0B0C0C"/>
          <w:sz w:val="24"/>
          <w:szCs w:val="24"/>
          <w:lang w:eastAsia="en-GB"/>
        </w:rPr>
        <w:t>comply;</w:t>
      </w:r>
      <w:proofErr w:type="gramEnd"/>
    </w:p>
    <w:p w14:paraId="52935EA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specify the measures which, in the officer’s opinion, the person must take in order to secure compliance; and</w:t>
      </w:r>
    </w:p>
    <w:p w14:paraId="09AF2643" w14:textId="77777777" w:rsid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 require the person to take those measures, or measures that are at least equivalent to them, within such period as may be specified in the notice.</w:t>
      </w:r>
      <w:r w:rsidR="00FC4F2B">
        <w:rPr>
          <w:rFonts w:ascii="Arial" w:eastAsia="Times New Roman" w:hAnsi="Arial" w:cs="Arial"/>
          <w:color w:val="0B0C0C"/>
          <w:sz w:val="24"/>
          <w:szCs w:val="24"/>
          <w:lang w:eastAsia="en-GB"/>
        </w:rPr>
        <w:t xml:space="preserve"> </w:t>
      </w:r>
    </w:p>
    <w:p w14:paraId="37045C1B" w14:textId="432F53D0" w:rsidR="003B319C" w:rsidRPr="001049C7" w:rsidRDefault="003B319C" w:rsidP="00FC4F2B">
      <w:pPr>
        <w:spacing w:before="300" w:after="300" w:line="240" w:lineRule="auto"/>
        <w:textAlignment w:val="baseline"/>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Offences</w:t>
      </w:r>
    </w:p>
    <w:p w14:paraId="4C100388" w14:textId="77777777" w:rsid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11. A person commits an offence if they fail to comply with an improvement notice served under regulation 10.</w:t>
      </w:r>
      <w:r w:rsidR="00FC4F2B">
        <w:rPr>
          <w:rFonts w:ascii="Arial" w:eastAsia="Times New Roman" w:hAnsi="Arial" w:cs="Arial"/>
          <w:color w:val="0B0C0C"/>
          <w:sz w:val="24"/>
          <w:szCs w:val="24"/>
          <w:lang w:eastAsia="en-GB"/>
        </w:rPr>
        <w:t xml:space="preserve"> </w:t>
      </w:r>
    </w:p>
    <w:p w14:paraId="7DED3E03" w14:textId="3FBCE0FC" w:rsidR="003B319C" w:rsidRPr="001049C7" w:rsidRDefault="003B319C" w:rsidP="00FC4F2B">
      <w:pPr>
        <w:spacing w:before="300" w:after="300" w:line="240" w:lineRule="auto"/>
        <w:textAlignment w:val="baseline"/>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Sanctions</w:t>
      </w:r>
    </w:p>
    <w:p w14:paraId="5B7D3729" w14:textId="77777777" w:rsid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12.</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A person guilty of an offence under regulation 11 is liable on summary conviction to a fine. (2) Schedule 2 makes provision for fixed monetary penalties.</w:t>
      </w:r>
    </w:p>
    <w:p w14:paraId="34C55341" w14:textId="2ADF81A4" w:rsidR="003B319C" w:rsidRP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lang w:eastAsia="en-GB"/>
        </w:rPr>
        <w:t>Guidance as to use of fixed monetary penalties</w:t>
      </w:r>
    </w:p>
    <w:p w14:paraId="1117B88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13.</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Each food authority must publish guidance containing information as to—</w:t>
      </w:r>
    </w:p>
    <w:p w14:paraId="560F240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the circumstances in which a fixed monetary penalty is likely to be imposed under these </w:t>
      </w:r>
      <w:proofErr w:type="gramStart"/>
      <w:r w:rsidRPr="001049C7">
        <w:rPr>
          <w:rFonts w:ascii="Arial" w:eastAsia="Times New Roman" w:hAnsi="Arial" w:cs="Arial"/>
          <w:color w:val="0B0C0C"/>
          <w:sz w:val="24"/>
          <w:szCs w:val="24"/>
          <w:lang w:eastAsia="en-GB"/>
        </w:rPr>
        <w:t>Regulations;</w:t>
      </w:r>
      <w:proofErr w:type="gramEnd"/>
    </w:p>
    <w:p w14:paraId="1DE60C9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the circumstances in which it may not be </w:t>
      </w:r>
      <w:proofErr w:type="gramStart"/>
      <w:r w:rsidRPr="001049C7">
        <w:rPr>
          <w:rFonts w:ascii="Arial" w:eastAsia="Times New Roman" w:hAnsi="Arial" w:cs="Arial"/>
          <w:color w:val="0B0C0C"/>
          <w:sz w:val="24"/>
          <w:szCs w:val="24"/>
          <w:lang w:eastAsia="en-GB"/>
        </w:rPr>
        <w:t>imposed;</w:t>
      </w:r>
      <w:proofErr w:type="gramEnd"/>
    </w:p>
    <w:p w14:paraId="1D7DD3D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 xml:space="preserve">(c) the amount of the </w:t>
      </w:r>
      <w:proofErr w:type="gramStart"/>
      <w:r w:rsidRPr="001049C7">
        <w:rPr>
          <w:rFonts w:ascii="Arial" w:eastAsia="Times New Roman" w:hAnsi="Arial" w:cs="Arial"/>
          <w:color w:val="0B0C0C"/>
          <w:sz w:val="24"/>
          <w:szCs w:val="24"/>
          <w:lang w:eastAsia="en-GB"/>
        </w:rPr>
        <w:t>penalty;</w:t>
      </w:r>
      <w:proofErr w:type="gramEnd"/>
    </w:p>
    <w:p w14:paraId="7F35013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 how liability for the penalty may be discharged and the effect of discharge; and</w:t>
      </w:r>
    </w:p>
    <w:p w14:paraId="2F7DD0C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(e) a person’s rights to make representations and objections and their rights of appeal.</w:t>
      </w:r>
    </w:p>
    <w:p w14:paraId="08BF957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The food authority must revise the guidance where appropriate.</w:t>
      </w:r>
    </w:p>
    <w:p w14:paraId="38D51BD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The food authority must consult with such organisations as appear to them to be representative of interests likely to be substantially affected by the guidance before publishing any guidance or revised guidance.</w:t>
      </w:r>
    </w:p>
    <w:p w14:paraId="0C57C395" w14:textId="77777777" w:rsid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(4) The food authority must have regard to the guidance or revised guidance in exercising its functions under these Regulations.</w:t>
      </w:r>
    </w:p>
    <w:p w14:paraId="6C3F69F6" w14:textId="1349ABFD" w:rsidR="003B319C" w:rsidRP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lang w:eastAsia="en-GB"/>
        </w:rPr>
        <w:t>Publication of enforcement action</w:t>
      </w:r>
    </w:p>
    <w:p w14:paraId="57D0E44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14.</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Each food authority must publish reports from time to time.</w:t>
      </w:r>
    </w:p>
    <w:p w14:paraId="03D3210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The reports referred to in paragraph (1) must specify—</w:t>
      </w:r>
    </w:p>
    <w:p w14:paraId="55A71F8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the cases in which a fixed monetary penalty has been imposed, except where it has been overturned on </w:t>
      </w:r>
      <w:proofErr w:type="gramStart"/>
      <w:r w:rsidRPr="001049C7">
        <w:rPr>
          <w:rFonts w:ascii="Arial" w:eastAsia="Times New Roman" w:hAnsi="Arial" w:cs="Arial"/>
          <w:color w:val="0B0C0C"/>
          <w:sz w:val="24"/>
          <w:szCs w:val="24"/>
          <w:lang w:eastAsia="en-GB"/>
        </w:rPr>
        <w:t>appeal;</w:t>
      </w:r>
      <w:proofErr w:type="gramEnd"/>
    </w:p>
    <w:p w14:paraId="0772306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the cases in which liability to the fixed monetary penalty has been discharged pursuant to paragraph 3(2)(c) of Schedule 2 to these Regulations.</w:t>
      </w:r>
    </w:p>
    <w:p w14:paraId="45485500" w14:textId="77777777" w:rsidR="00FC4F2B" w:rsidRDefault="003B319C" w:rsidP="00FC4F2B">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Nothing in this regulation authorises the processing of personal data where doing so would contravene data protection legislation, and for these purposes “personal data” and “data protection legislation have the same meanings as in section 3 of the Data Protection Act 2018</w:t>
      </w:r>
      <w:hyperlink r:id="rId12" w:anchor="fn:8" w:history="1">
        <w:r w:rsidRPr="001049C7">
          <w:rPr>
            <w:rFonts w:ascii="Arial" w:eastAsia="Times New Roman" w:hAnsi="Arial" w:cs="Arial"/>
            <w:color w:val="4C2C92"/>
            <w:sz w:val="24"/>
            <w:szCs w:val="24"/>
            <w:u w:val="single"/>
            <w:bdr w:val="none" w:sz="0" w:space="0" w:color="auto" w:frame="1"/>
            <w:vertAlign w:val="superscript"/>
            <w:lang w:eastAsia="en-GB"/>
          </w:rPr>
          <w:t>[footnote 8]</w:t>
        </w:r>
      </w:hyperlink>
      <w:r w:rsidRPr="001049C7">
        <w:rPr>
          <w:rFonts w:ascii="Arial" w:eastAsia="Times New Roman" w:hAnsi="Arial" w:cs="Arial"/>
          <w:color w:val="0B0C0C"/>
          <w:sz w:val="24"/>
          <w:szCs w:val="24"/>
          <w:lang w:eastAsia="en-GB"/>
        </w:rPr>
        <w:t>.</w:t>
      </w:r>
    </w:p>
    <w:p w14:paraId="0D9127AE" w14:textId="77777777" w:rsidR="00FC4F2B" w:rsidRDefault="00FC4F2B" w:rsidP="00FC4F2B">
      <w:pPr>
        <w:spacing w:after="0" w:line="240" w:lineRule="auto"/>
        <w:textAlignment w:val="baseline"/>
        <w:rPr>
          <w:rFonts w:ascii="Arial" w:eastAsia="Times New Roman" w:hAnsi="Arial" w:cs="Arial"/>
          <w:color w:val="0B0C0C"/>
          <w:sz w:val="24"/>
          <w:szCs w:val="24"/>
          <w:lang w:eastAsia="en-GB"/>
        </w:rPr>
      </w:pPr>
    </w:p>
    <w:p w14:paraId="3E39CF56" w14:textId="02F1B3F3" w:rsidR="003B319C" w:rsidRPr="00FC4F2B" w:rsidRDefault="003B319C" w:rsidP="00FC4F2B">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lang w:eastAsia="en-GB"/>
        </w:rPr>
        <w:t>Review</w:t>
      </w:r>
    </w:p>
    <w:p w14:paraId="4AD3ED02"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15.</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In addition to the review carried out under section 67 of the 2008 Act (Review), the Secretary of State must from time to time carry out a review of the regulatory provisions of these Regulations (including Schedule 1) and publish a report setting out the conclusions of the review.</w:t>
      </w:r>
    </w:p>
    <w:p w14:paraId="3F384C9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The first report must be published before the expiry of the period of five years beginning on the date on which these Regulations come into force.</w:t>
      </w:r>
    </w:p>
    <w:p w14:paraId="6DDF98D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Subsequent reports must be published at intervals not exceeding five years.</w:t>
      </w:r>
    </w:p>
    <w:p w14:paraId="35F77BB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(4) A report published under this regulation must, in particular—</w:t>
      </w:r>
    </w:p>
    <w:p w14:paraId="725144C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xml:space="preserve">) set out the objectives intended to be achieved by the regulatory provisions of these </w:t>
      </w:r>
      <w:proofErr w:type="gramStart"/>
      <w:r w:rsidRPr="001049C7">
        <w:rPr>
          <w:rFonts w:ascii="Arial" w:eastAsia="Times New Roman" w:hAnsi="Arial" w:cs="Arial"/>
          <w:color w:val="0B0C0C"/>
          <w:sz w:val="24"/>
          <w:szCs w:val="24"/>
          <w:lang w:eastAsia="en-GB"/>
        </w:rPr>
        <w:t>Regulations;</w:t>
      </w:r>
      <w:proofErr w:type="gramEnd"/>
    </w:p>
    <w:p w14:paraId="32C8CD2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 xml:space="preserve">(ii) assess the extent to which those objectives are </w:t>
      </w:r>
      <w:proofErr w:type="gramStart"/>
      <w:r w:rsidRPr="001049C7">
        <w:rPr>
          <w:rFonts w:ascii="Arial" w:eastAsia="Times New Roman" w:hAnsi="Arial" w:cs="Arial"/>
          <w:color w:val="0B0C0C"/>
          <w:sz w:val="24"/>
          <w:szCs w:val="24"/>
          <w:lang w:eastAsia="en-GB"/>
        </w:rPr>
        <w:t>achieved;</w:t>
      </w:r>
      <w:proofErr w:type="gramEnd"/>
    </w:p>
    <w:p w14:paraId="5C732E0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(iii) assess whether those objectives remain appropriate; and</w:t>
      </w:r>
    </w:p>
    <w:p w14:paraId="49B8B83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(iv) if those objectives remain appropriate, assess the extent to which they could be achieved in another way which involves less onerous regulatory provision.</w:t>
      </w:r>
    </w:p>
    <w:p w14:paraId="59DF6B93" w14:textId="77777777" w:rsid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(5) In this regulation “regulatory provision” has the same meaning as in 32(4) of the Small Business, Enterprise and Employment Act 2015.</w:t>
      </w:r>
    </w:p>
    <w:p w14:paraId="2C992AC0" w14:textId="22A61E26" w:rsidR="003B319C" w:rsidRPr="00FC4F2B" w:rsidRDefault="003B319C" w:rsidP="00FC4F2B">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lang w:eastAsia="en-GB"/>
        </w:rPr>
        <w:t>Application of various sections of the Food Safety Act 1990</w:t>
      </w:r>
    </w:p>
    <w:p w14:paraId="0B09E01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16.</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The provisions of the Act set out in paragraph (2) apply for purposes of these Regulations—</w:t>
      </w:r>
    </w:p>
    <w:p w14:paraId="14E6B21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as if any reference in those provisions to the Act, or to any Part of the Act, were a reference to these </w:t>
      </w:r>
      <w:proofErr w:type="gramStart"/>
      <w:r w:rsidRPr="001049C7">
        <w:rPr>
          <w:rFonts w:ascii="Arial" w:eastAsia="Times New Roman" w:hAnsi="Arial" w:cs="Arial"/>
          <w:color w:val="0B0C0C"/>
          <w:sz w:val="24"/>
          <w:szCs w:val="24"/>
          <w:lang w:eastAsia="en-GB"/>
        </w:rPr>
        <w:t>Regulations;</w:t>
      </w:r>
      <w:proofErr w:type="gramEnd"/>
    </w:p>
    <w:p w14:paraId="714BE19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with any modifications specified in paragraph (2).</w:t>
      </w:r>
    </w:p>
    <w:p w14:paraId="071B577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The provisions of the Act applying, as modified, are—</w:t>
      </w:r>
    </w:p>
    <w:p w14:paraId="3EF8689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 section 3 (presumptions that food intended for human consumption</w:t>
      </w:r>
      <w:proofErr w:type="gramStart"/>
      <w:r w:rsidRPr="001049C7">
        <w:rPr>
          <w:rFonts w:ascii="Arial" w:eastAsia="Times New Roman" w:hAnsi="Arial" w:cs="Arial"/>
          <w:color w:val="0B0C0C"/>
          <w:sz w:val="24"/>
          <w:szCs w:val="24"/>
          <w:lang w:eastAsia="en-GB"/>
        </w:rPr>
        <w:t>);</w:t>
      </w:r>
      <w:proofErr w:type="gramEnd"/>
    </w:p>
    <w:p w14:paraId="5AD177A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section 20 (offences due to fault of another person</w:t>
      </w:r>
      <w:proofErr w:type="gramStart"/>
      <w:r w:rsidRPr="001049C7">
        <w:rPr>
          <w:rFonts w:ascii="Arial" w:eastAsia="Times New Roman" w:hAnsi="Arial" w:cs="Arial"/>
          <w:color w:val="0B0C0C"/>
          <w:sz w:val="24"/>
          <w:szCs w:val="24"/>
          <w:lang w:eastAsia="en-GB"/>
        </w:rPr>
        <w:t>);</w:t>
      </w:r>
      <w:proofErr w:type="gramEnd"/>
    </w:p>
    <w:p w14:paraId="30E8BCE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section 21 (defence of due diligence), as if —</w:t>
      </w:r>
    </w:p>
    <w:p w14:paraId="6BA3C554"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subsections (2) to (4) applied in relation to an offence under these Regulations as they apply in relation to an offence under section 15, and</w:t>
      </w:r>
    </w:p>
    <w:p w14:paraId="04D6187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(ii) in subsection (4)(b) the reference to “sale or intended sale” included “promotion or presentation</w:t>
      </w:r>
      <w:proofErr w:type="gramStart"/>
      <w:r w:rsidRPr="001049C7">
        <w:rPr>
          <w:rFonts w:ascii="Arial" w:eastAsia="Times New Roman" w:hAnsi="Arial" w:cs="Arial"/>
          <w:color w:val="0B0C0C"/>
          <w:sz w:val="24"/>
          <w:szCs w:val="24"/>
          <w:lang w:eastAsia="en-GB"/>
        </w:rPr>
        <w:t>”;</w:t>
      </w:r>
      <w:proofErr w:type="gramEnd"/>
    </w:p>
    <w:p w14:paraId="247429F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 section 30(8) (which relates to documentary evidence</w:t>
      </w:r>
      <w:proofErr w:type="gramStart"/>
      <w:r w:rsidRPr="001049C7">
        <w:rPr>
          <w:rFonts w:ascii="Arial" w:eastAsia="Times New Roman" w:hAnsi="Arial" w:cs="Arial"/>
          <w:color w:val="0B0C0C"/>
          <w:sz w:val="24"/>
          <w:szCs w:val="24"/>
          <w:lang w:eastAsia="en-GB"/>
        </w:rPr>
        <w:t>);</w:t>
      </w:r>
      <w:proofErr w:type="gramEnd"/>
    </w:p>
    <w:p w14:paraId="177B128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(e) section 33(1) (obstruction etc of officers</w:t>
      </w:r>
      <w:proofErr w:type="gramStart"/>
      <w:r w:rsidRPr="001049C7">
        <w:rPr>
          <w:rFonts w:ascii="Arial" w:eastAsia="Times New Roman" w:hAnsi="Arial" w:cs="Arial"/>
          <w:color w:val="0B0C0C"/>
          <w:sz w:val="24"/>
          <w:szCs w:val="24"/>
          <w:lang w:eastAsia="en-GB"/>
        </w:rPr>
        <w:t>);</w:t>
      </w:r>
      <w:proofErr w:type="gramEnd"/>
    </w:p>
    <w:p w14:paraId="678242B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(f) section 33(2), as if the reference to “any such requirement as is mentioned in subsection (1)(b) above” were a reference to any such requirement as is mentioned in that subsection as applied by sub-paragraph (e</w:t>
      </w:r>
      <w:proofErr w:type="gramStart"/>
      <w:r w:rsidRPr="001049C7">
        <w:rPr>
          <w:rFonts w:ascii="Arial" w:eastAsia="Times New Roman" w:hAnsi="Arial" w:cs="Arial"/>
          <w:color w:val="0B0C0C"/>
          <w:sz w:val="24"/>
          <w:szCs w:val="24"/>
          <w:lang w:eastAsia="en-GB"/>
        </w:rPr>
        <w:t>);</w:t>
      </w:r>
      <w:proofErr w:type="gramEnd"/>
    </w:p>
    <w:p w14:paraId="0B4674D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(g) section 34 (time limits for prosecutions</w:t>
      </w:r>
      <w:proofErr w:type="gramStart"/>
      <w:r w:rsidRPr="001049C7">
        <w:rPr>
          <w:rFonts w:ascii="Arial" w:eastAsia="Times New Roman" w:hAnsi="Arial" w:cs="Arial"/>
          <w:color w:val="0B0C0C"/>
          <w:sz w:val="24"/>
          <w:szCs w:val="24"/>
          <w:lang w:eastAsia="en-GB"/>
        </w:rPr>
        <w:t>);</w:t>
      </w:r>
      <w:proofErr w:type="gramEnd"/>
    </w:p>
    <w:p w14:paraId="28FD60C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(h) section 35(1) (punishment of offences), in so far as it relates to offences under section 33(1) as applied by sub-paragraph (e</w:t>
      </w:r>
      <w:proofErr w:type="gramStart"/>
      <w:r w:rsidRPr="001049C7">
        <w:rPr>
          <w:rFonts w:ascii="Arial" w:eastAsia="Times New Roman" w:hAnsi="Arial" w:cs="Arial"/>
          <w:color w:val="0B0C0C"/>
          <w:sz w:val="24"/>
          <w:szCs w:val="24"/>
          <w:lang w:eastAsia="en-GB"/>
        </w:rPr>
        <w:t>);</w:t>
      </w:r>
      <w:proofErr w:type="gramEnd"/>
    </w:p>
    <w:p w14:paraId="1B778C9D"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section 35(2) and (3), in so far as it relates to offences under section 33(2) as applied by sub-paragraph (f</w:t>
      </w:r>
      <w:proofErr w:type="gramStart"/>
      <w:r w:rsidRPr="001049C7">
        <w:rPr>
          <w:rFonts w:ascii="Arial" w:eastAsia="Times New Roman" w:hAnsi="Arial" w:cs="Arial"/>
          <w:color w:val="0B0C0C"/>
          <w:sz w:val="24"/>
          <w:szCs w:val="24"/>
          <w:lang w:eastAsia="en-GB"/>
        </w:rPr>
        <w:t>);</w:t>
      </w:r>
      <w:proofErr w:type="gramEnd"/>
    </w:p>
    <w:p w14:paraId="545A2B5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(j) section 36 (offences by bodies corporate</w:t>
      </w:r>
      <w:proofErr w:type="gramStart"/>
      <w:r w:rsidRPr="001049C7">
        <w:rPr>
          <w:rFonts w:ascii="Arial" w:eastAsia="Times New Roman" w:hAnsi="Arial" w:cs="Arial"/>
          <w:color w:val="0B0C0C"/>
          <w:sz w:val="24"/>
          <w:szCs w:val="24"/>
          <w:lang w:eastAsia="en-GB"/>
        </w:rPr>
        <w:t>);</w:t>
      </w:r>
      <w:proofErr w:type="gramEnd"/>
    </w:p>
    <w:p w14:paraId="223D8D5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(k) section 36A (offences by Scottish partnerships</w:t>
      </w:r>
      <w:proofErr w:type="gramStart"/>
      <w:r w:rsidRPr="001049C7">
        <w:rPr>
          <w:rFonts w:ascii="Arial" w:eastAsia="Times New Roman" w:hAnsi="Arial" w:cs="Arial"/>
          <w:color w:val="0B0C0C"/>
          <w:sz w:val="24"/>
          <w:szCs w:val="24"/>
          <w:lang w:eastAsia="en-GB"/>
        </w:rPr>
        <w:t>);</w:t>
      </w:r>
      <w:proofErr w:type="gramEnd"/>
    </w:p>
    <w:p w14:paraId="2E62EE5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(l) section 44 (protection of officers acting in good faith); and</w:t>
      </w:r>
    </w:p>
    <w:p w14:paraId="245E1C8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(m) section 50 (service of documents).</w:t>
      </w:r>
    </w:p>
    <w:p w14:paraId="4979453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Name</w:t>
      </w:r>
    </w:p>
    <w:p w14:paraId="4C61A84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Address</w:t>
      </w:r>
    </w:p>
    <w:p w14:paraId="598155F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Parliamentary Under Secretary of State</w:t>
      </w:r>
    </w:p>
    <w:p w14:paraId="51CC3BC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Date</w:t>
      </w:r>
    </w:p>
    <w:p w14:paraId="231E009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Department</w:t>
      </w:r>
    </w:p>
    <w:p w14:paraId="510A26CE" w14:textId="77777777" w:rsidR="003B319C" w:rsidRPr="001049C7" w:rsidRDefault="003B319C" w:rsidP="003B319C">
      <w:pPr>
        <w:spacing w:before="1200" w:after="0" w:line="240" w:lineRule="auto"/>
        <w:textAlignment w:val="baseline"/>
        <w:outlineLvl w:val="2"/>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SCHEDULE 1 Regulation 3</w:t>
      </w:r>
    </w:p>
    <w:p w14:paraId="0D7F8747" w14:textId="77777777" w:rsidR="003B319C" w:rsidRPr="001049C7" w:rsidRDefault="003B319C" w:rsidP="003B319C">
      <w:pPr>
        <w:spacing w:before="525" w:after="0" w:line="240" w:lineRule="auto"/>
        <w:textAlignment w:val="baseline"/>
        <w:outlineLvl w:val="3"/>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Categories of food</w:t>
      </w:r>
    </w:p>
    <w:p w14:paraId="7BFF1747" w14:textId="77777777" w:rsidR="00FC4F2B" w:rsidRDefault="00FC4F2B" w:rsidP="003B319C">
      <w:pPr>
        <w:spacing w:after="0" w:line="240" w:lineRule="auto"/>
        <w:textAlignment w:val="baseline"/>
        <w:rPr>
          <w:rFonts w:ascii="Arial" w:eastAsia="Times New Roman" w:hAnsi="Arial" w:cs="Arial"/>
          <w:b/>
          <w:bCs/>
          <w:color w:val="0B0C0C"/>
          <w:sz w:val="24"/>
          <w:szCs w:val="24"/>
          <w:bdr w:val="none" w:sz="0" w:space="0" w:color="auto" w:frame="1"/>
          <w:lang w:eastAsia="en-GB"/>
        </w:rPr>
      </w:pPr>
    </w:p>
    <w:p w14:paraId="70756B7B" w14:textId="6B2EC316"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1</w:t>
      </w:r>
      <w:r w:rsidRPr="001049C7">
        <w:rPr>
          <w:rFonts w:ascii="Arial" w:eastAsia="Times New Roman" w:hAnsi="Arial" w:cs="Arial"/>
          <w:color w:val="0B0C0C"/>
          <w:sz w:val="24"/>
          <w:szCs w:val="24"/>
          <w:lang w:eastAsia="en-GB"/>
        </w:rPr>
        <w:t>: Non-alcoholic soft drinks with added sugar which are either ready to drink or which, to be made ready to drink, must be processed.</w:t>
      </w:r>
    </w:p>
    <w:p w14:paraId="63A952D4"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For the purposes of this category—</w:t>
      </w:r>
    </w:p>
    <w:p w14:paraId="71DB86A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“added sugar” means sugar added to a drink during production which is of a type or in such quantity not naturally occurring in the other </w:t>
      </w:r>
      <w:proofErr w:type="gramStart"/>
      <w:r w:rsidRPr="001049C7">
        <w:rPr>
          <w:rFonts w:ascii="Arial" w:eastAsia="Times New Roman" w:hAnsi="Arial" w:cs="Arial"/>
          <w:color w:val="0B0C0C"/>
          <w:sz w:val="24"/>
          <w:szCs w:val="24"/>
          <w:lang w:eastAsia="en-GB"/>
        </w:rPr>
        <w:t>ingredients;</w:t>
      </w:r>
      <w:proofErr w:type="gramEnd"/>
    </w:p>
    <w:p w14:paraId="0DCA77C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“non-alcoholic” means with a content of not more than 1.2% alcohol by </w:t>
      </w:r>
      <w:proofErr w:type="gramStart"/>
      <w:r w:rsidRPr="001049C7">
        <w:rPr>
          <w:rFonts w:ascii="Arial" w:eastAsia="Times New Roman" w:hAnsi="Arial" w:cs="Arial"/>
          <w:color w:val="0B0C0C"/>
          <w:sz w:val="24"/>
          <w:szCs w:val="24"/>
          <w:lang w:eastAsia="en-GB"/>
        </w:rPr>
        <w:t>volume;</w:t>
      </w:r>
      <w:proofErr w:type="gramEnd"/>
    </w:p>
    <w:p w14:paraId="2B61304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“processed” means one or more of the following—</w:t>
      </w:r>
    </w:p>
    <w:p w14:paraId="4A871094"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xml:space="preserve">) diluted with </w:t>
      </w:r>
      <w:proofErr w:type="gramStart"/>
      <w:r w:rsidRPr="001049C7">
        <w:rPr>
          <w:rFonts w:ascii="Arial" w:eastAsia="Times New Roman" w:hAnsi="Arial" w:cs="Arial"/>
          <w:color w:val="0B0C0C"/>
          <w:sz w:val="24"/>
          <w:szCs w:val="24"/>
          <w:lang w:eastAsia="en-GB"/>
        </w:rPr>
        <w:t>water;</w:t>
      </w:r>
      <w:proofErr w:type="gramEnd"/>
    </w:p>
    <w:p w14:paraId="3A93DB5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(ii) mixed with crushed </w:t>
      </w:r>
      <w:proofErr w:type="gramStart"/>
      <w:r w:rsidRPr="001049C7">
        <w:rPr>
          <w:rFonts w:ascii="Arial" w:eastAsia="Times New Roman" w:hAnsi="Arial" w:cs="Arial"/>
          <w:color w:val="0B0C0C"/>
          <w:sz w:val="24"/>
          <w:szCs w:val="24"/>
          <w:lang w:eastAsia="en-GB"/>
        </w:rPr>
        <w:t>ice;</w:t>
      </w:r>
      <w:proofErr w:type="gramEnd"/>
    </w:p>
    <w:p w14:paraId="5552E08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(iii) processed to make crushed </w:t>
      </w:r>
      <w:proofErr w:type="gramStart"/>
      <w:r w:rsidRPr="001049C7">
        <w:rPr>
          <w:rFonts w:ascii="Arial" w:eastAsia="Times New Roman" w:hAnsi="Arial" w:cs="Arial"/>
          <w:color w:val="0B0C0C"/>
          <w:sz w:val="24"/>
          <w:szCs w:val="24"/>
          <w:lang w:eastAsia="en-GB"/>
        </w:rPr>
        <w:t>ice;</w:t>
      </w:r>
      <w:proofErr w:type="gramEnd"/>
    </w:p>
    <w:p w14:paraId="677BF31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(iv) mixed with carbon </w:t>
      </w:r>
      <w:proofErr w:type="gramStart"/>
      <w:r w:rsidRPr="001049C7">
        <w:rPr>
          <w:rFonts w:ascii="Arial" w:eastAsia="Times New Roman" w:hAnsi="Arial" w:cs="Arial"/>
          <w:color w:val="0B0C0C"/>
          <w:sz w:val="24"/>
          <w:szCs w:val="24"/>
          <w:lang w:eastAsia="en-GB"/>
        </w:rPr>
        <w:t>dioxide;</w:t>
      </w:r>
      <w:proofErr w:type="gramEnd"/>
    </w:p>
    <w:p w14:paraId="192A33C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(d) “soft drinks” means—</w:t>
      </w:r>
    </w:p>
    <w:p w14:paraId="0310C1B2"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xml:space="preserve">) still or carbonated water-based </w:t>
      </w:r>
      <w:proofErr w:type="gramStart"/>
      <w:r w:rsidRPr="001049C7">
        <w:rPr>
          <w:rFonts w:ascii="Arial" w:eastAsia="Times New Roman" w:hAnsi="Arial" w:cs="Arial"/>
          <w:color w:val="0B0C0C"/>
          <w:sz w:val="24"/>
          <w:szCs w:val="24"/>
          <w:lang w:eastAsia="en-GB"/>
        </w:rPr>
        <w:t>drinks;</w:t>
      </w:r>
      <w:proofErr w:type="gramEnd"/>
    </w:p>
    <w:p w14:paraId="34E374D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(ii) milk-based </w:t>
      </w:r>
      <w:proofErr w:type="gramStart"/>
      <w:r w:rsidRPr="001049C7">
        <w:rPr>
          <w:rFonts w:ascii="Arial" w:eastAsia="Times New Roman" w:hAnsi="Arial" w:cs="Arial"/>
          <w:color w:val="0B0C0C"/>
          <w:sz w:val="24"/>
          <w:szCs w:val="24"/>
          <w:lang w:eastAsia="en-GB"/>
        </w:rPr>
        <w:t>drinks;</w:t>
      </w:r>
      <w:proofErr w:type="gramEnd"/>
    </w:p>
    <w:p w14:paraId="15058E1C"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(iii) fruit or vegetable juice-based </w:t>
      </w:r>
      <w:proofErr w:type="gramStart"/>
      <w:r w:rsidRPr="001049C7">
        <w:rPr>
          <w:rFonts w:ascii="Arial" w:eastAsia="Times New Roman" w:hAnsi="Arial" w:cs="Arial"/>
          <w:color w:val="0B0C0C"/>
          <w:sz w:val="24"/>
          <w:szCs w:val="24"/>
          <w:lang w:eastAsia="en-GB"/>
        </w:rPr>
        <w:t>drinks;</w:t>
      </w:r>
      <w:proofErr w:type="gramEnd"/>
    </w:p>
    <w:p w14:paraId="11298F4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(e) “sugar” includes all monosaccharides and disaccharides, including—</w:t>
      </w:r>
    </w:p>
    <w:p w14:paraId="026A7F1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xml:space="preserve">) all types of cane and beet </w:t>
      </w:r>
      <w:proofErr w:type="gramStart"/>
      <w:r w:rsidRPr="001049C7">
        <w:rPr>
          <w:rFonts w:ascii="Arial" w:eastAsia="Times New Roman" w:hAnsi="Arial" w:cs="Arial"/>
          <w:color w:val="0B0C0C"/>
          <w:sz w:val="24"/>
          <w:szCs w:val="24"/>
          <w:lang w:eastAsia="en-GB"/>
        </w:rPr>
        <w:t>sugar;</w:t>
      </w:r>
      <w:proofErr w:type="gramEnd"/>
    </w:p>
    <w:p w14:paraId="4A9A8F9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(ii) sugar from other sources such as coconut palm </w:t>
      </w:r>
      <w:proofErr w:type="gramStart"/>
      <w:r w:rsidRPr="001049C7">
        <w:rPr>
          <w:rFonts w:ascii="Arial" w:eastAsia="Times New Roman" w:hAnsi="Arial" w:cs="Arial"/>
          <w:color w:val="0B0C0C"/>
          <w:sz w:val="24"/>
          <w:szCs w:val="24"/>
          <w:lang w:eastAsia="en-GB"/>
        </w:rPr>
        <w:t>sugar;</w:t>
      </w:r>
      <w:proofErr w:type="gramEnd"/>
    </w:p>
    <w:p w14:paraId="26826AF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(iii) crystalline sucrose, invert sugar, dextrose, </w:t>
      </w:r>
      <w:proofErr w:type="gramStart"/>
      <w:r w:rsidRPr="001049C7">
        <w:rPr>
          <w:rFonts w:ascii="Arial" w:eastAsia="Times New Roman" w:hAnsi="Arial" w:cs="Arial"/>
          <w:color w:val="0B0C0C"/>
          <w:sz w:val="24"/>
          <w:szCs w:val="24"/>
          <w:lang w:eastAsia="en-GB"/>
        </w:rPr>
        <w:t>molasses;</w:t>
      </w:r>
      <w:proofErr w:type="gramEnd"/>
    </w:p>
    <w:p w14:paraId="744E8CE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(iv) sugars in honey, treacle, malt extract and all types of syrup including malt syrup, fruit syrup, rice malt syrup, corn syrup, high-fructose corn syrup, maple syrup, glucose syrup, glucose-fructose </w:t>
      </w:r>
      <w:proofErr w:type="gramStart"/>
      <w:r w:rsidRPr="001049C7">
        <w:rPr>
          <w:rFonts w:ascii="Arial" w:eastAsia="Times New Roman" w:hAnsi="Arial" w:cs="Arial"/>
          <w:color w:val="0B0C0C"/>
          <w:sz w:val="24"/>
          <w:szCs w:val="24"/>
          <w:lang w:eastAsia="en-GB"/>
        </w:rPr>
        <w:t>syrup;</w:t>
      </w:r>
      <w:proofErr w:type="gramEnd"/>
    </w:p>
    <w:p w14:paraId="0480477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(v) fructose, sucrose, glucose, lactose, hydrolysed lactose and galactose added as an </w:t>
      </w:r>
      <w:proofErr w:type="gramStart"/>
      <w:r w:rsidRPr="001049C7">
        <w:rPr>
          <w:rFonts w:ascii="Arial" w:eastAsia="Times New Roman" w:hAnsi="Arial" w:cs="Arial"/>
          <w:color w:val="0B0C0C"/>
          <w:sz w:val="24"/>
          <w:szCs w:val="24"/>
          <w:lang w:eastAsia="en-GB"/>
        </w:rPr>
        <w:t>ingredient;</w:t>
      </w:r>
      <w:proofErr w:type="gramEnd"/>
    </w:p>
    <w:p w14:paraId="4842A06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(vi) sugars in all types of nectars such as coconut blossom nectar, date nectar, agave </w:t>
      </w:r>
      <w:proofErr w:type="gramStart"/>
      <w:r w:rsidRPr="001049C7">
        <w:rPr>
          <w:rFonts w:ascii="Arial" w:eastAsia="Times New Roman" w:hAnsi="Arial" w:cs="Arial"/>
          <w:color w:val="0B0C0C"/>
          <w:sz w:val="24"/>
          <w:szCs w:val="24"/>
          <w:lang w:eastAsia="en-GB"/>
        </w:rPr>
        <w:t>nectar;</w:t>
      </w:r>
      <w:proofErr w:type="gramEnd"/>
    </w:p>
    <w:p w14:paraId="3F1193F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(vii) sugars in juice concentrates.</w:t>
      </w:r>
    </w:p>
    <w:p w14:paraId="20677707"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2</w:t>
      </w:r>
      <w:r w:rsidRPr="001049C7">
        <w:rPr>
          <w:rFonts w:ascii="Arial" w:eastAsia="Times New Roman" w:hAnsi="Arial" w:cs="Arial"/>
          <w:color w:val="0B0C0C"/>
          <w:sz w:val="24"/>
          <w:szCs w:val="24"/>
          <w:lang w:eastAsia="en-GB"/>
        </w:rPr>
        <w:t xml:space="preserve">: Crisps and other savoury snacks including all potato crisps and similar products made from potato, other vegetables, grain or pulses, including extruded, sheeted and pelleted snacks such as pitta </w:t>
      </w:r>
      <w:proofErr w:type="gramStart"/>
      <w:r w:rsidRPr="001049C7">
        <w:rPr>
          <w:rFonts w:ascii="Arial" w:eastAsia="Times New Roman" w:hAnsi="Arial" w:cs="Arial"/>
          <w:color w:val="0B0C0C"/>
          <w:sz w:val="24"/>
          <w:szCs w:val="24"/>
          <w:lang w:eastAsia="en-GB"/>
        </w:rPr>
        <w:t>bread based</w:t>
      </w:r>
      <w:proofErr w:type="gramEnd"/>
      <w:r w:rsidRPr="001049C7">
        <w:rPr>
          <w:rFonts w:ascii="Arial" w:eastAsia="Times New Roman" w:hAnsi="Arial" w:cs="Arial"/>
          <w:color w:val="0B0C0C"/>
          <w:sz w:val="24"/>
          <w:szCs w:val="24"/>
          <w:lang w:eastAsia="en-GB"/>
        </w:rPr>
        <w:t xml:space="preserve"> snacks, pretzels, </w:t>
      </w:r>
      <w:proofErr w:type="spellStart"/>
      <w:r w:rsidRPr="001049C7">
        <w:rPr>
          <w:rFonts w:ascii="Arial" w:eastAsia="Times New Roman" w:hAnsi="Arial" w:cs="Arial"/>
          <w:color w:val="0B0C0C"/>
          <w:sz w:val="24"/>
          <w:szCs w:val="24"/>
          <w:lang w:eastAsia="en-GB"/>
        </w:rPr>
        <w:t>poppadums</w:t>
      </w:r>
      <w:proofErr w:type="spellEnd"/>
      <w:r w:rsidRPr="001049C7">
        <w:rPr>
          <w:rFonts w:ascii="Arial" w:eastAsia="Times New Roman" w:hAnsi="Arial" w:cs="Arial"/>
          <w:color w:val="0B0C0C"/>
          <w:sz w:val="24"/>
          <w:szCs w:val="24"/>
          <w:lang w:eastAsia="en-GB"/>
        </w:rPr>
        <w:t>, prawn crackers, pork scratchings, salted popcorn, and savoury crackers or biscuits which are in individually-portioned bags. This category does not include savoury snacks that are nuts, whether raw or to which other food has been added (such as salt).</w:t>
      </w:r>
    </w:p>
    <w:p w14:paraId="3C4E15C5"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3</w:t>
      </w:r>
      <w:r w:rsidRPr="001049C7">
        <w:rPr>
          <w:rFonts w:ascii="Arial" w:eastAsia="Times New Roman" w:hAnsi="Arial" w:cs="Arial"/>
          <w:color w:val="0B0C0C"/>
          <w:sz w:val="24"/>
          <w:szCs w:val="24"/>
          <w:lang w:eastAsia="en-GB"/>
        </w:rPr>
        <w:t>: Breakfast cereals including ready-to-eat cereals, granola, muesli, porridge oats and other oat-based cereals.</w:t>
      </w:r>
    </w:p>
    <w:p w14:paraId="1AA5F252"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4</w:t>
      </w:r>
      <w:r w:rsidRPr="001049C7">
        <w:rPr>
          <w:rFonts w:ascii="Arial" w:eastAsia="Times New Roman" w:hAnsi="Arial" w:cs="Arial"/>
          <w:color w:val="0B0C0C"/>
          <w:sz w:val="24"/>
          <w:szCs w:val="24"/>
          <w:lang w:eastAsia="en-GB"/>
        </w:rPr>
        <w:t>: Confectionery including chocolates and sweets.</w:t>
      </w:r>
    </w:p>
    <w:p w14:paraId="6B4DFFC4"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5</w:t>
      </w:r>
      <w:r w:rsidRPr="001049C7">
        <w:rPr>
          <w:rFonts w:ascii="Arial" w:eastAsia="Times New Roman" w:hAnsi="Arial" w:cs="Arial"/>
          <w:color w:val="0B0C0C"/>
          <w:sz w:val="24"/>
          <w:szCs w:val="24"/>
          <w:lang w:eastAsia="en-GB"/>
        </w:rPr>
        <w:t>: Ice cream, ice lollies, frozen yogurt, water ices and similar frozen products.</w:t>
      </w:r>
    </w:p>
    <w:p w14:paraId="2A59E316"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6</w:t>
      </w:r>
      <w:r w:rsidRPr="001049C7">
        <w:rPr>
          <w:rFonts w:ascii="Arial" w:eastAsia="Times New Roman" w:hAnsi="Arial" w:cs="Arial"/>
          <w:color w:val="0B0C0C"/>
          <w:sz w:val="24"/>
          <w:szCs w:val="24"/>
          <w:lang w:eastAsia="en-GB"/>
        </w:rPr>
        <w:t>: Cakes (including cupcakes).</w:t>
      </w:r>
    </w:p>
    <w:p w14:paraId="55699796"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7</w:t>
      </w:r>
      <w:r w:rsidRPr="001049C7">
        <w:rPr>
          <w:rFonts w:ascii="Arial" w:eastAsia="Times New Roman" w:hAnsi="Arial" w:cs="Arial"/>
          <w:color w:val="0B0C0C"/>
          <w:sz w:val="24"/>
          <w:szCs w:val="24"/>
          <w:lang w:eastAsia="en-GB"/>
        </w:rPr>
        <w:t>: Sweet biscuits.</w:t>
      </w:r>
    </w:p>
    <w:p w14:paraId="4EE9321A"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8</w:t>
      </w:r>
      <w:r w:rsidRPr="001049C7">
        <w:rPr>
          <w:rFonts w:ascii="Arial" w:eastAsia="Times New Roman" w:hAnsi="Arial" w:cs="Arial"/>
          <w:color w:val="0B0C0C"/>
          <w:sz w:val="24"/>
          <w:szCs w:val="24"/>
          <w:lang w:eastAsia="en-GB"/>
        </w:rPr>
        <w:t xml:space="preserve">: Morning goods, meaning croissants, pains au </w:t>
      </w:r>
      <w:proofErr w:type="spellStart"/>
      <w:r w:rsidRPr="001049C7">
        <w:rPr>
          <w:rFonts w:ascii="Arial" w:eastAsia="Times New Roman" w:hAnsi="Arial" w:cs="Arial"/>
          <w:color w:val="0B0C0C"/>
          <w:sz w:val="24"/>
          <w:szCs w:val="24"/>
          <w:lang w:eastAsia="en-GB"/>
        </w:rPr>
        <w:t>chocolat</w:t>
      </w:r>
      <w:proofErr w:type="spellEnd"/>
      <w:r w:rsidRPr="001049C7">
        <w:rPr>
          <w:rFonts w:ascii="Arial" w:eastAsia="Times New Roman" w:hAnsi="Arial" w:cs="Arial"/>
          <w:color w:val="0B0C0C"/>
          <w:sz w:val="24"/>
          <w:szCs w:val="24"/>
          <w:lang w:eastAsia="en-GB"/>
        </w:rPr>
        <w:t xml:space="preserve"> and similar pastries, crumpets, pancakes, buns, teacakes, scones, waffles, Danish pastries and fruit loaves.</w:t>
      </w:r>
    </w:p>
    <w:p w14:paraId="6333FCC4"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9</w:t>
      </w:r>
      <w:r w:rsidRPr="001049C7">
        <w:rPr>
          <w:rFonts w:ascii="Arial" w:eastAsia="Times New Roman" w:hAnsi="Arial" w:cs="Arial"/>
          <w:color w:val="0B0C0C"/>
          <w:sz w:val="24"/>
          <w:szCs w:val="24"/>
          <w:lang w:eastAsia="en-GB"/>
        </w:rPr>
        <w:t>: Desserts and puddings, including pies, tarts and flans, cheesecake, gateaux, dairy desserts, sponge puddings, rice pudding, crumbles, fruit fillings, powdered desserts, custards, jellies and meringues.</w:t>
      </w:r>
    </w:p>
    <w:p w14:paraId="5C74C591"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10</w:t>
      </w:r>
      <w:r w:rsidRPr="001049C7">
        <w:rPr>
          <w:rFonts w:ascii="Arial" w:eastAsia="Times New Roman" w:hAnsi="Arial" w:cs="Arial"/>
          <w:color w:val="0B0C0C"/>
          <w:sz w:val="24"/>
          <w:szCs w:val="24"/>
          <w:lang w:eastAsia="en-GB"/>
        </w:rPr>
        <w:t>: Yoghurt.</w:t>
      </w:r>
    </w:p>
    <w:p w14:paraId="06CC27C4"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lastRenderedPageBreak/>
        <w:t>Category 11</w:t>
      </w:r>
      <w:r w:rsidRPr="001049C7">
        <w:rPr>
          <w:rFonts w:ascii="Arial" w:eastAsia="Times New Roman" w:hAnsi="Arial" w:cs="Arial"/>
          <w:color w:val="0B0C0C"/>
          <w:sz w:val="24"/>
          <w:szCs w:val="24"/>
          <w:lang w:eastAsia="en-GB"/>
        </w:rPr>
        <w:t>: Pizza (except plain pizza bases).</w:t>
      </w:r>
    </w:p>
    <w:p w14:paraId="611E46BE"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12</w:t>
      </w:r>
      <w:r w:rsidRPr="001049C7">
        <w:rPr>
          <w:rFonts w:ascii="Arial" w:eastAsia="Times New Roman" w:hAnsi="Arial" w:cs="Arial"/>
          <w:color w:val="0B0C0C"/>
          <w:sz w:val="24"/>
          <w:szCs w:val="24"/>
          <w:lang w:eastAsia="en-GB"/>
        </w:rPr>
        <w:t xml:space="preserve">: Roast potatoes, potato and sweet potato chips, fries and wedges, potato waffles, novelty potato shapes (such as smiley faces), hash browns, </w:t>
      </w:r>
      <w:proofErr w:type="spellStart"/>
      <w:r w:rsidRPr="001049C7">
        <w:rPr>
          <w:rFonts w:ascii="Arial" w:eastAsia="Times New Roman" w:hAnsi="Arial" w:cs="Arial"/>
          <w:color w:val="0B0C0C"/>
          <w:sz w:val="24"/>
          <w:szCs w:val="24"/>
          <w:lang w:eastAsia="en-GB"/>
        </w:rPr>
        <w:t>rostis</w:t>
      </w:r>
      <w:proofErr w:type="spellEnd"/>
      <w:r w:rsidRPr="001049C7">
        <w:rPr>
          <w:rFonts w:ascii="Arial" w:eastAsia="Times New Roman" w:hAnsi="Arial" w:cs="Arial"/>
          <w:color w:val="0B0C0C"/>
          <w:sz w:val="24"/>
          <w:szCs w:val="24"/>
          <w:lang w:eastAsia="en-GB"/>
        </w:rPr>
        <w:t>, crispy potato slices, potato croquettes.</w:t>
      </w:r>
    </w:p>
    <w:p w14:paraId="618CDE3C"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13</w:t>
      </w:r>
      <w:r w:rsidRPr="001049C7">
        <w:rPr>
          <w:rFonts w:ascii="Arial" w:eastAsia="Times New Roman" w:hAnsi="Arial" w:cs="Arial"/>
          <w:color w:val="0B0C0C"/>
          <w:sz w:val="24"/>
          <w:szCs w:val="24"/>
          <w:lang w:eastAsia="en-GB"/>
        </w:rPr>
        <w:t>: Products that are marketed as a meal that is ready for cooking or reheating without requiring further preparation and which include a carbohydrate accompaniment.</w:t>
      </w:r>
    </w:p>
    <w:p w14:paraId="74367D42"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14</w:t>
      </w:r>
      <w:r w:rsidRPr="001049C7">
        <w:rPr>
          <w:rFonts w:ascii="Arial" w:eastAsia="Times New Roman" w:hAnsi="Arial" w:cs="Arial"/>
          <w:color w:val="0B0C0C"/>
          <w:sz w:val="24"/>
          <w:szCs w:val="24"/>
          <w:lang w:eastAsia="en-GB"/>
        </w:rPr>
        <w:t>: Products that are marketed as a meal that is ready for cooking or reheating without requiring further preparation and which do not include a carbohydrate accompaniment, such as prepared fish, shellfish, meat, poultry and meat alternative products in a sauce, but not including fish, shellfish, meat, poultry and meat alternatives (either served plain or) in a marinade, glaze, dressing, seasoning or similar accompaniment.</w:t>
      </w:r>
    </w:p>
    <w:p w14:paraId="69704888"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Category 15</w:t>
      </w:r>
      <w:r w:rsidRPr="001049C7">
        <w:rPr>
          <w:rFonts w:ascii="Arial" w:eastAsia="Times New Roman" w:hAnsi="Arial" w:cs="Arial"/>
          <w:color w:val="0B0C0C"/>
          <w:sz w:val="24"/>
          <w:szCs w:val="24"/>
          <w:lang w:eastAsia="en-GB"/>
        </w:rPr>
        <w:t>: Breaded or battered fish, shellfish, meat, poultry and meat alternative products including fish fingers, fish cakes, chicken nuggets and breaded Quorn.</w:t>
      </w:r>
    </w:p>
    <w:p w14:paraId="139B777B" w14:textId="77777777" w:rsidR="003B319C" w:rsidRPr="001049C7" w:rsidRDefault="003B319C" w:rsidP="003B319C">
      <w:pPr>
        <w:spacing w:before="1200" w:after="0" w:line="240" w:lineRule="auto"/>
        <w:textAlignment w:val="baseline"/>
        <w:outlineLvl w:val="2"/>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SCHEDULE 2 Regulation 12</w:t>
      </w:r>
    </w:p>
    <w:p w14:paraId="4E4356A4" w14:textId="77777777" w:rsidR="003B319C" w:rsidRPr="001049C7" w:rsidRDefault="003B319C" w:rsidP="003B319C">
      <w:pPr>
        <w:spacing w:before="525" w:after="0" w:line="240" w:lineRule="auto"/>
        <w:textAlignment w:val="baseline"/>
        <w:outlineLvl w:val="3"/>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Fixed Monetary Penalties</w:t>
      </w:r>
    </w:p>
    <w:p w14:paraId="085FAAD2" w14:textId="77777777" w:rsidR="003B319C" w:rsidRPr="001049C7" w:rsidRDefault="003B319C" w:rsidP="003B319C">
      <w:pPr>
        <w:spacing w:after="0" w:line="240" w:lineRule="auto"/>
        <w:textAlignment w:val="baseline"/>
        <w:outlineLvl w:val="4"/>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Interpretation</w:t>
      </w:r>
    </w:p>
    <w:p w14:paraId="5928FA94" w14:textId="77777777" w:rsidR="003B319C" w:rsidRPr="001049C7" w:rsidRDefault="003B319C" w:rsidP="003B319C">
      <w:pPr>
        <w:numPr>
          <w:ilvl w:val="0"/>
          <w:numId w:val="1"/>
        </w:numPr>
        <w:spacing w:after="75" w:line="240" w:lineRule="auto"/>
        <w:ind w:left="795"/>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In this Schedule, references to an authorised officer are to an authorised officer of the food authority.</w:t>
      </w:r>
    </w:p>
    <w:p w14:paraId="1421D3C3"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Civil sanctions</w:t>
      </w:r>
    </w:p>
    <w:p w14:paraId="70C5AB1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An authorised officer may by notice impose a fixed monetary penalty on a person in relation to an offence under regulation 11.</w:t>
      </w:r>
    </w:p>
    <w:p w14:paraId="6A40931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Before doing so, the officer must be satisfied beyond reasonable doubt that the person has committed an offence.</w:t>
      </w:r>
    </w:p>
    <w:p w14:paraId="4A5823E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For the purposes of this paragraph, “fixed monetary penalty” means a fine of £2,500. Notice of intent</w:t>
      </w:r>
    </w:p>
    <w:p w14:paraId="3265945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When an authorised officer proposes to impose a fixed monetary penalty on a person, the officer must serve on that person a notice of what is proposed (“a notice of intent”).</w:t>
      </w:r>
    </w:p>
    <w:p w14:paraId="7DF844B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The notice of intent must include—</w:t>
      </w:r>
    </w:p>
    <w:p w14:paraId="386FFC8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the grounds for the proposal to impose the fixed monetary </w:t>
      </w:r>
      <w:proofErr w:type="gramStart"/>
      <w:r w:rsidRPr="001049C7">
        <w:rPr>
          <w:rFonts w:ascii="Arial" w:eastAsia="Times New Roman" w:hAnsi="Arial" w:cs="Arial"/>
          <w:color w:val="0B0C0C"/>
          <w:sz w:val="24"/>
          <w:szCs w:val="24"/>
          <w:lang w:eastAsia="en-GB"/>
        </w:rPr>
        <w:t>penalty;</w:t>
      </w:r>
      <w:proofErr w:type="gramEnd"/>
    </w:p>
    <w:p w14:paraId="3B38037D"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the amount of the </w:t>
      </w:r>
      <w:proofErr w:type="gramStart"/>
      <w:r w:rsidRPr="001049C7">
        <w:rPr>
          <w:rFonts w:ascii="Arial" w:eastAsia="Times New Roman" w:hAnsi="Arial" w:cs="Arial"/>
          <w:color w:val="0B0C0C"/>
          <w:sz w:val="24"/>
          <w:szCs w:val="24"/>
          <w:lang w:eastAsia="en-GB"/>
        </w:rPr>
        <w:t>penalty;</w:t>
      </w:r>
      <w:proofErr w:type="gramEnd"/>
    </w:p>
    <w:p w14:paraId="6EEAA594"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(c) a statement that the liability for the penalty can be discharged by paying 50% of the penalty within 28 days beginning with the day in which the notice was </w:t>
      </w:r>
      <w:proofErr w:type="gramStart"/>
      <w:r w:rsidRPr="001049C7">
        <w:rPr>
          <w:rFonts w:ascii="Arial" w:eastAsia="Times New Roman" w:hAnsi="Arial" w:cs="Arial"/>
          <w:color w:val="0B0C0C"/>
          <w:sz w:val="24"/>
          <w:szCs w:val="24"/>
          <w:lang w:eastAsia="en-GB"/>
        </w:rPr>
        <w:t>received;</w:t>
      </w:r>
      <w:proofErr w:type="gramEnd"/>
    </w:p>
    <w:p w14:paraId="3ADF106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(d) information as to—</w:t>
      </w:r>
    </w:p>
    <w:p w14:paraId="1A863AE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w:t>
      </w:r>
      <w:proofErr w:type="spellStart"/>
      <w:r w:rsidRPr="001049C7">
        <w:rPr>
          <w:rFonts w:ascii="Arial" w:eastAsia="Times New Roman" w:hAnsi="Arial" w:cs="Arial"/>
          <w:color w:val="0B0C0C"/>
          <w:sz w:val="24"/>
          <w:szCs w:val="24"/>
          <w:lang w:eastAsia="en-GB"/>
        </w:rPr>
        <w:t>i</w:t>
      </w:r>
      <w:proofErr w:type="spellEnd"/>
      <w:r w:rsidRPr="001049C7">
        <w:rPr>
          <w:rFonts w:ascii="Arial" w:eastAsia="Times New Roman" w:hAnsi="Arial" w:cs="Arial"/>
          <w:color w:val="0B0C0C"/>
          <w:sz w:val="24"/>
          <w:szCs w:val="24"/>
          <w:lang w:eastAsia="en-GB"/>
        </w:rPr>
        <w:t xml:space="preserve">) the effect of that discharge </w:t>
      </w:r>
      <w:proofErr w:type="gramStart"/>
      <w:r w:rsidRPr="001049C7">
        <w:rPr>
          <w:rFonts w:ascii="Arial" w:eastAsia="Times New Roman" w:hAnsi="Arial" w:cs="Arial"/>
          <w:color w:val="0B0C0C"/>
          <w:sz w:val="24"/>
          <w:szCs w:val="24"/>
          <w:lang w:eastAsia="en-GB"/>
        </w:rPr>
        <w:t>payment;</w:t>
      </w:r>
      <w:proofErr w:type="gramEnd"/>
    </w:p>
    <w:p w14:paraId="2A8F96AD"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(ii) the right to make representations and objections within 28 days beginning with the day on which the notice of intent was </w:t>
      </w:r>
      <w:proofErr w:type="gramStart"/>
      <w:r w:rsidRPr="001049C7">
        <w:rPr>
          <w:rFonts w:ascii="Arial" w:eastAsia="Times New Roman" w:hAnsi="Arial" w:cs="Arial"/>
          <w:color w:val="0B0C0C"/>
          <w:sz w:val="24"/>
          <w:szCs w:val="24"/>
          <w:lang w:eastAsia="en-GB"/>
        </w:rPr>
        <w:t>received;</w:t>
      </w:r>
      <w:proofErr w:type="gramEnd"/>
    </w:p>
    <w:p w14:paraId="619438F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(iii) the circumstances in which the authorised officer may not impose the requirement (including any defences relating to the offence in relation to which the notice is served). (iv) the consequences of non-payment.</w:t>
      </w:r>
    </w:p>
    <w:p w14:paraId="0E5B79CA"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Discharge of liability</w:t>
      </w:r>
    </w:p>
    <w:p w14:paraId="665BE41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4. The penalty is discharged if a person who receives a notice of intent pays 50% of the amount of the penalty within 28 days beginning with the day on which the notice was received.</w:t>
      </w:r>
    </w:p>
    <w:p w14:paraId="6E4B3367"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Making representations and objections</w:t>
      </w:r>
    </w:p>
    <w:p w14:paraId="55FFF4D2"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5. A person on whom a notice of intent is served may within 28 days beginning with the day on which the notice was received make written representations and objections to the authorised officer in relation to the proposed imposition of the fixed monetary penalty.</w:t>
      </w:r>
    </w:p>
    <w:p w14:paraId="5760069C" w14:textId="77777777" w:rsidR="003B319C" w:rsidRPr="001049C7" w:rsidRDefault="003B319C" w:rsidP="003B319C">
      <w:pPr>
        <w:spacing w:after="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b/>
          <w:bCs/>
          <w:color w:val="0B0C0C"/>
          <w:sz w:val="24"/>
          <w:szCs w:val="24"/>
          <w:bdr w:val="none" w:sz="0" w:space="0" w:color="auto" w:frame="1"/>
          <w:lang w:eastAsia="en-GB"/>
        </w:rPr>
        <w:t>Service of final notice</w:t>
      </w:r>
    </w:p>
    <w:p w14:paraId="19EA853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6.</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If the person who has received notice of intent does not discharge liability within 28 days, the authorised officer may serve a final notice imposing a fixed monetary penalty.</w:t>
      </w:r>
    </w:p>
    <w:p w14:paraId="550529B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The authorised officer may not serve a final notice on a person where the authorised officer is satisfied that the person would not, by reason of any defence, be liable to be convicted of the offence to which the notice relates.</w:t>
      </w:r>
    </w:p>
    <w:p w14:paraId="421EBED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An authorised officer who serves a final notice relating to a fixed monetary penalty may not serve any other notice under these Regulations in relation to the offence. Contents of final notice</w:t>
      </w:r>
    </w:p>
    <w:p w14:paraId="308C9BD2"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7. A final notice must include information as to—</w:t>
      </w:r>
    </w:p>
    <w:p w14:paraId="1D428CF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the amount of the </w:t>
      </w:r>
      <w:proofErr w:type="gramStart"/>
      <w:r w:rsidRPr="001049C7">
        <w:rPr>
          <w:rFonts w:ascii="Arial" w:eastAsia="Times New Roman" w:hAnsi="Arial" w:cs="Arial"/>
          <w:color w:val="0B0C0C"/>
          <w:sz w:val="24"/>
          <w:szCs w:val="24"/>
          <w:lang w:eastAsia="en-GB"/>
        </w:rPr>
        <w:t>penalty;</w:t>
      </w:r>
      <w:proofErr w:type="gramEnd"/>
    </w:p>
    <w:p w14:paraId="1D270374"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the grounds for imposing the </w:t>
      </w:r>
      <w:proofErr w:type="gramStart"/>
      <w:r w:rsidRPr="001049C7">
        <w:rPr>
          <w:rFonts w:ascii="Arial" w:eastAsia="Times New Roman" w:hAnsi="Arial" w:cs="Arial"/>
          <w:color w:val="0B0C0C"/>
          <w:sz w:val="24"/>
          <w:szCs w:val="24"/>
          <w:lang w:eastAsia="en-GB"/>
        </w:rPr>
        <w:t>penalty;</w:t>
      </w:r>
      <w:proofErr w:type="gramEnd"/>
    </w:p>
    <w:p w14:paraId="7CBC2831"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(c) how payment may be </w:t>
      </w:r>
      <w:proofErr w:type="gramStart"/>
      <w:r w:rsidRPr="001049C7">
        <w:rPr>
          <w:rFonts w:ascii="Arial" w:eastAsia="Times New Roman" w:hAnsi="Arial" w:cs="Arial"/>
          <w:color w:val="0B0C0C"/>
          <w:sz w:val="24"/>
          <w:szCs w:val="24"/>
          <w:lang w:eastAsia="en-GB"/>
        </w:rPr>
        <w:t>made;</w:t>
      </w:r>
      <w:proofErr w:type="gramEnd"/>
    </w:p>
    <w:p w14:paraId="595EE2B3"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(d) the period of 28 days within which payment must be </w:t>
      </w:r>
      <w:proofErr w:type="gramStart"/>
      <w:r w:rsidRPr="001049C7">
        <w:rPr>
          <w:rFonts w:ascii="Arial" w:eastAsia="Times New Roman" w:hAnsi="Arial" w:cs="Arial"/>
          <w:color w:val="0B0C0C"/>
          <w:sz w:val="24"/>
          <w:szCs w:val="24"/>
          <w:lang w:eastAsia="en-GB"/>
        </w:rPr>
        <w:t>made;</w:t>
      </w:r>
      <w:proofErr w:type="gramEnd"/>
    </w:p>
    <w:p w14:paraId="282BD37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(e) details of the early payment discounts and late payment </w:t>
      </w:r>
      <w:proofErr w:type="gramStart"/>
      <w:r w:rsidRPr="001049C7">
        <w:rPr>
          <w:rFonts w:ascii="Arial" w:eastAsia="Times New Roman" w:hAnsi="Arial" w:cs="Arial"/>
          <w:color w:val="0B0C0C"/>
          <w:sz w:val="24"/>
          <w:szCs w:val="24"/>
          <w:lang w:eastAsia="en-GB"/>
        </w:rPr>
        <w:t>penalties;</w:t>
      </w:r>
      <w:proofErr w:type="gramEnd"/>
    </w:p>
    <w:p w14:paraId="345BEE9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 xml:space="preserve">(f) rights of </w:t>
      </w:r>
      <w:proofErr w:type="gramStart"/>
      <w:r w:rsidRPr="001049C7">
        <w:rPr>
          <w:rFonts w:ascii="Arial" w:eastAsia="Times New Roman" w:hAnsi="Arial" w:cs="Arial"/>
          <w:color w:val="0B0C0C"/>
          <w:sz w:val="24"/>
          <w:szCs w:val="24"/>
          <w:lang w:eastAsia="en-GB"/>
        </w:rPr>
        <w:t>appeal;</w:t>
      </w:r>
      <w:proofErr w:type="gramEnd"/>
    </w:p>
    <w:p w14:paraId="45DD14C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(g) the consequences of non-payment.</w:t>
      </w:r>
    </w:p>
    <w:p w14:paraId="4D743000" w14:textId="77777777" w:rsidR="003B319C" w:rsidRPr="001049C7" w:rsidRDefault="003B319C" w:rsidP="003B319C">
      <w:pPr>
        <w:spacing w:before="525" w:after="0" w:line="240" w:lineRule="auto"/>
        <w:textAlignment w:val="baseline"/>
        <w:outlineLvl w:val="3"/>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Discount for early payment</w:t>
      </w:r>
    </w:p>
    <w:p w14:paraId="7D6251EE" w14:textId="77777777" w:rsidR="003B319C" w:rsidRPr="001049C7" w:rsidRDefault="003B319C" w:rsidP="003B319C">
      <w:pPr>
        <w:spacing w:before="75"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8. If a person who was served with a notice of intent made representations or objections concerning that notice within the time limit, that person may discharge the final notice by paying 50% of the penalty within 14 days beginning with the day on which the final notice was received.</w:t>
      </w:r>
    </w:p>
    <w:p w14:paraId="3FEE00CF" w14:textId="77777777" w:rsidR="003B319C" w:rsidRPr="001049C7" w:rsidRDefault="003B319C" w:rsidP="003B319C">
      <w:pPr>
        <w:spacing w:before="525" w:after="0" w:line="240" w:lineRule="auto"/>
        <w:textAlignment w:val="baseline"/>
        <w:outlineLvl w:val="3"/>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Grounds of appeal</w:t>
      </w:r>
    </w:p>
    <w:p w14:paraId="28A1EE07" w14:textId="77777777" w:rsidR="003B319C" w:rsidRPr="001049C7" w:rsidRDefault="003B319C" w:rsidP="003B319C">
      <w:pPr>
        <w:spacing w:before="75"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9.</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The person receiving the final notice may appeal against it.</w:t>
      </w:r>
    </w:p>
    <w:p w14:paraId="67353A7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The grounds for appeal are—</w:t>
      </w:r>
    </w:p>
    <w:p w14:paraId="000FC7DD"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that the decision was based on an error of </w:t>
      </w:r>
      <w:proofErr w:type="gramStart"/>
      <w:r w:rsidRPr="001049C7">
        <w:rPr>
          <w:rFonts w:ascii="Arial" w:eastAsia="Times New Roman" w:hAnsi="Arial" w:cs="Arial"/>
          <w:color w:val="0B0C0C"/>
          <w:sz w:val="24"/>
          <w:szCs w:val="24"/>
          <w:lang w:eastAsia="en-GB"/>
        </w:rPr>
        <w:t>fact;</w:t>
      </w:r>
      <w:proofErr w:type="gramEnd"/>
    </w:p>
    <w:p w14:paraId="78730F58"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(b) that the decision was wrong in </w:t>
      </w:r>
      <w:proofErr w:type="gramStart"/>
      <w:r w:rsidRPr="001049C7">
        <w:rPr>
          <w:rFonts w:ascii="Arial" w:eastAsia="Times New Roman" w:hAnsi="Arial" w:cs="Arial"/>
          <w:color w:val="0B0C0C"/>
          <w:sz w:val="24"/>
          <w:szCs w:val="24"/>
          <w:lang w:eastAsia="en-GB"/>
        </w:rPr>
        <w:t>law;</w:t>
      </w:r>
      <w:proofErr w:type="gramEnd"/>
    </w:p>
    <w:p w14:paraId="7120ADA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that the decision was unreasonable.</w:t>
      </w:r>
    </w:p>
    <w:p w14:paraId="0DB31C44" w14:textId="77777777" w:rsidR="003B319C" w:rsidRPr="001049C7" w:rsidRDefault="003B319C" w:rsidP="003B319C">
      <w:pPr>
        <w:spacing w:before="525" w:after="0" w:line="240" w:lineRule="auto"/>
        <w:textAlignment w:val="baseline"/>
        <w:outlineLvl w:val="3"/>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Appeals</w:t>
      </w:r>
    </w:p>
    <w:p w14:paraId="2B501786" w14:textId="77777777" w:rsidR="003B319C" w:rsidRPr="001049C7" w:rsidRDefault="003B319C" w:rsidP="003B319C">
      <w:pPr>
        <w:spacing w:before="75"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10.</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An appeal under paragraph 9 is to the First-tier Tribunal.</w:t>
      </w:r>
    </w:p>
    <w:p w14:paraId="3AA339B6"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A final notice is suspended pending the determination or withdrawal of the appeal.</w:t>
      </w:r>
    </w:p>
    <w:p w14:paraId="22E9C047"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(3) The First-tier Tribunal may—</w:t>
      </w:r>
    </w:p>
    <w:p w14:paraId="7C82305E"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withdraw, confirm or vary a final </w:t>
      </w:r>
      <w:proofErr w:type="gramStart"/>
      <w:r w:rsidRPr="001049C7">
        <w:rPr>
          <w:rFonts w:ascii="Arial" w:eastAsia="Times New Roman" w:hAnsi="Arial" w:cs="Arial"/>
          <w:color w:val="0B0C0C"/>
          <w:sz w:val="24"/>
          <w:szCs w:val="24"/>
          <w:lang w:eastAsia="en-GB"/>
        </w:rPr>
        <w:t>notice;</w:t>
      </w:r>
      <w:proofErr w:type="gramEnd"/>
    </w:p>
    <w:p w14:paraId="2986786A"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take such steps as an authorised officer could have taken in relation to the act or omission giving rise to a final notice; or</w:t>
      </w:r>
    </w:p>
    <w:p w14:paraId="26C65480"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(c) remit the decision whether to confirm a final notice, or any other matter relating to that decision, to an authorised person.</w:t>
      </w:r>
    </w:p>
    <w:p w14:paraId="21A46BBF" w14:textId="77777777" w:rsidR="003B319C" w:rsidRPr="001049C7" w:rsidRDefault="003B319C" w:rsidP="003B319C">
      <w:pPr>
        <w:spacing w:before="525" w:after="0" w:line="240" w:lineRule="auto"/>
        <w:textAlignment w:val="baseline"/>
        <w:outlineLvl w:val="3"/>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Non-payment after 28 days</w:t>
      </w:r>
    </w:p>
    <w:p w14:paraId="3BC64F89" w14:textId="77777777" w:rsidR="003B319C" w:rsidRPr="001049C7" w:rsidRDefault="003B319C" w:rsidP="003B319C">
      <w:pPr>
        <w:spacing w:before="75"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11.</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The penalty must be paid within 28 days of receipt of the final notice.</w:t>
      </w:r>
    </w:p>
    <w:p w14:paraId="41E609BF"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If the penalty is not paid within 56 days, the amount payable is increased by 50%.</w:t>
      </w:r>
    </w:p>
    <w:p w14:paraId="3110A91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lastRenderedPageBreak/>
        <w:t>(3) In the case of an appeal it is payable within 14 days of the determination of the appeal (if the appeal is unsuccessful), and if it is not paid within 14 days the amount of the penalty is increased by 50%.</w:t>
      </w:r>
    </w:p>
    <w:p w14:paraId="6733ED36" w14:textId="77777777" w:rsidR="003B319C" w:rsidRPr="001049C7" w:rsidRDefault="003B319C" w:rsidP="003B319C">
      <w:pPr>
        <w:spacing w:before="525" w:after="0" w:line="240" w:lineRule="auto"/>
        <w:textAlignment w:val="baseline"/>
        <w:outlineLvl w:val="3"/>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Recovery of payments</w:t>
      </w:r>
    </w:p>
    <w:p w14:paraId="4E20153F" w14:textId="77777777" w:rsidR="003B319C" w:rsidRPr="001049C7" w:rsidRDefault="003B319C" w:rsidP="003B319C">
      <w:pPr>
        <w:spacing w:before="75"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12. An authorised officer may recover any penalty imposed under this Schedule as if payable under a court order.</w:t>
      </w:r>
    </w:p>
    <w:p w14:paraId="3FDBE98E" w14:textId="77777777" w:rsidR="003B319C" w:rsidRPr="001049C7" w:rsidRDefault="003B319C" w:rsidP="003B319C">
      <w:pPr>
        <w:spacing w:before="525" w:after="0" w:line="240" w:lineRule="auto"/>
        <w:textAlignment w:val="baseline"/>
        <w:outlineLvl w:val="3"/>
        <w:rPr>
          <w:rFonts w:ascii="Arial" w:eastAsia="Times New Roman" w:hAnsi="Arial" w:cs="Arial"/>
          <w:b/>
          <w:bCs/>
          <w:color w:val="0B0C0C"/>
          <w:sz w:val="24"/>
          <w:szCs w:val="24"/>
          <w:lang w:eastAsia="en-GB"/>
        </w:rPr>
      </w:pPr>
      <w:r w:rsidRPr="001049C7">
        <w:rPr>
          <w:rFonts w:ascii="Arial" w:eastAsia="Times New Roman" w:hAnsi="Arial" w:cs="Arial"/>
          <w:b/>
          <w:bCs/>
          <w:color w:val="0B0C0C"/>
          <w:sz w:val="24"/>
          <w:szCs w:val="24"/>
          <w:lang w:eastAsia="en-GB"/>
        </w:rPr>
        <w:t>Criminal proceedings</w:t>
      </w:r>
    </w:p>
    <w:p w14:paraId="729BB3FD" w14:textId="77777777" w:rsidR="003B319C" w:rsidRPr="001049C7" w:rsidRDefault="003B319C" w:rsidP="003B319C">
      <w:pPr>
        <w:spacing w:before="75"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13.</w:t>
      </w:r>
      <w:proofErr w:type="gramStart"/>
      <w:r w:rsidRPr="001049C7">
        <w:rPr>
          <w:rFonts w:ascii="Arial" w:eastAsia="Times New Roman" w:hAnsi="Arial" w:cs="Arial"/>
          <w:color w:val="0B0C0C"/>
          <w:sz w:val="24"/>
          <w:szCs w:val="24"/>
          <w:lang w:eastAsia="en-GB"/>
        </w:rPr>
        <w:t>—(</w:t>
      </w:r>
      <w:proofErr w:type="gramEnd"/>
      <w:r w:rsidRPr="001049C7">
        <w:rPr>
          <w:rFonts w:ascii="Arial" w:eastAsia="Times New Roman" w:hAnsi="Arial" w:cs="Arial"/>
          <w:color w:val="0B0C0C"/>
          <w:sz w:val="24"/>
          <w:szCs w:val="24"/>
          <w:lang w:eastAsia="en-GB"/>
        </w:rPr>
        <w:t>1) If a notice of intent for a fixed monetary penalty is served on any person—</w:t>
      </w:r>
    </w:p>
    <w:p w14:paraId="5A54F515"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(a) no criminal proceedings for the offence may be instituted against that person in respect of the act or omission to which the notice related before 28 days from the date on which the notice of intent is </w:t>
      </w:r>
      <w:proofErr w:type="gramStart"/>
      <w:r w:rsidRPr="001049C7">
        <w:rPr>
          <w:rFonts w:ascii="Arial" w:eastAsia="Times New Roman" w:hAnsi="Arial" w:cs="Arial"/>
          <w:color w:val="0B0C0C"/>
          <w:sz w:val="24"/>
          <w:szCs w:val="24"/>
          <w:lang w:eastAsia="en-GB"/>
        </w:rPr>
        <w:t>received;</w:t>
      </w:r>
      <w:proofErr w:type="gramEnd"/>
      <w:r w:rsidRPr="001049C7">
        <w:rPr>
          <w:rFonts w:ascii="Arial" w:eastAsia="Times New Roman" w:hAnsi="Arial" w:cs="Arial"/>
          <w:color w:val="0B0C0C"/>
          <w:sz w:val="24"/>
          <w:szCs w:val="24"/>
          <w:lang w:eastAsia="en-GB"/>
        </w:rPr>
        <w:t xml:space="preserve"> and</w:t>
      </w:r>
    </w:p>
    <w:p w14:paraId="084B105B"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(b) if that person discharges liability, that person may not at any time be convicted of the offence in relation to that act or omission.</w:t>
      </w:r>
    </w:p>
    <w:p w14:paraId="42BF31D9" w14:textId="77777777" w:rsidR="003B319C" w:rsidRPr="001049C7" w:rsidRDefault="003B319C" w:rsidP="003B319C">
      <w:pPr>
        <w:spacing w:before="300" w:after="300" w:line="240" w:lineRule="auto"/>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 If a fixed monetary penalty is imposed on any person, that person may not at any time be convicted of the offence in respect of the act or omission giving rise to the penalty.</w:t>
      </w:r>
    </w:p>
    <w:p w14:paraId="3BE833EA" w14:textId="77777777" w:rsidR="003B319C" w:rsidRPr="001049C7" w:rsidRDefault="003B319C" w:rsidP="003B319C">
      <w:pPr>
        <w:numPr>
          <w:ilvl w:val="0"/>
          <w:numId w:val="2"/>
        </w:numPr>
        <w:spacing w:after="0" w:line="240" w:lineRule="auto"/>
        <w:ind w:left="795"/>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1990 c.16. Section 6(4) was amended by paragraph 6 of Schedule 9 to the Deregulation and Contracting Out Act 1994 (c. 40); paragraph 10(3)(a) and (b) of Schedule 5 to the Food Standards Act 1999 (c. 28); and paragraph 1 of Schedule 2 to S.I. 2002/794. Sections 16(1) and 48(1) and (4) were amended by paragraph 8 of Schedule 5 to the Food Standards Act 1999. Section 48(4) was further amended by regulation 5(a) of the S.I. 2004/2990. There are other amendments to sections 6, 16 and 48 not relevant to this instrument. </w:t>
      </w:r>
      <w:hyperlink r:id="rId13" w:anchor="fnref:1" w:history="1">
        <w:r w:rsidRPr="001049C7">
          <w:rPr>
            <w:rFonts w:ascii="Segoe UI Emoji" w:eastAsia="Times New Roman" w:hAnsi="Segoe UI Emoji" w:cs="Segoe UI Emoji"/>
            <w:color w:val="4C2C92"/>
            <w:sz w:val="24"/>
            <w:szCs w:val="24"/>
            <w:u w:val="single"/>
            <w:bdr w:val="none" w:sz="0" w:space="0" w:color="auto" w:frame="1"/>
            <w:lang w:eastAsia="en-GB"/>
          </w:rPr>
          <w:t>↩</w:t>
        </w:r>
      </w:hyperlink>
    </w:p>
    <w:p w14:paraId="561C68EE" w14:textId="77777777" w:rsidR="003B319C" w:rsidRPr="001049C7" w:rsidRDefault="003B319C" w:rsidP="003B319C">
      <w:pPr>
        <w:numPr>
          <w:ilvl w:val="0"/>
          <w:numId w:val="2"/>
        </w:numPr>
        <w:spacing w:after="0" w:line="240" w:lineRule="auto"/>
        <w:ind w:left="795"/>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2008 c.13. Section 39(4) was amended by paragraph 12(2) of Schedule 5 to S.I. 2015/664. </w:t>
      </w:r>
      <w:hyperlink r:id="rId14" w:anchor="fnref:2" w:history="1">
        <w:r w:rsidRPr="001049C7">
          <w:rPr>
            <w:rFonts w:ascii="Segoe UI Emoji" w:eastAsia="Times New Roman" w:hAnsi="Segoe UI Emoji" w:cs="Segoe UI Emoji"/>
            <w:color w:val="4C2C92"/>
            <w:sz w:val="24"/>
            <w:szCs w:val="24"/>
            <w:u w:val="single"/>
            <w:bdr w:val="none" w:sz="0" w:space="0" w:color="auto" w:frame="1"/>
            <w:lang w:eastAsia="en-GB"/>
          </w:rPr>
          <w:t>↩</w:t>
        </w:r>
      </w:hyperlink>
    </w:p>
    <w:p w14:paraId="1AF252E5" w14:textId="77777777" w:rsidR="003B319C" w:rsidRPr="001049C7" w:rsidRDefault="003B319C" w:rsidP="003B319C">
      <w:pPr>
        <w:numPr>
          <w:ilvl w:val="0"/>
          <w:numId w:val="2"/>
        </w:numPr>
        <w:spacing w:after="0" w:line="240" w:lineRule="auto"/>
        <w:ind w:left="795"/>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2015 c. 20. </w:t>
      </w:r>
      <w:hyperlink r:id="rId15" w:anchor="fnref:3" w:history="1">
        <w:r w:rsidRPr="001049C7">
          <w:rPr>
            <w:rFonts w:ascii="Segoe UI Emoji" w:eastAsia="Times New Roman" w:hAnsi="Segoe UI Emoji" w:cs="Segoe UI Emoji"/>
            <w:color w:val="4C2C92"/>
            <w:sz w:val="24"/>
            <w:szCs w:val="24"/>
            <w:u w:val="single"/>
            <w:bdr w:val="none" w:sz="0" w:space="0" w:color="auto" w:frame="1"/>
            <w:lang w:eastAsia="en-GB"/>
          </w:rPr>
          <w:t>↩</w:t>
        </w:r>
      </w:hyperlink>
    </w:p>
    <w:p w14:paraId="5D62EC43" w14:textId="77777777" w:rsidR="003B319C" w:rsidRPr="001049C7" w:rsidRDefault="003B319C" w:rsidP="003B319C">
      <w:pPr>
        <w:numPr>
          <w:ilvl w:val="0"/>
          <w:numId w:val="2"/>
        </w:numPr>
        <w:spacing w:after="0" w:line="240" w:lineRule="auto"/>
        <w:ind w:left="795"/>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An electronic copy of guidance on the application of the 2004/05 Nutrient Profiling Model can be found at https://www.gov.uk/government/publications/the-nutrient-profiling-model. Hard copies of this guidance can be obtained by request to Obesity Team, Department of Health and Social Care, 39 Victoria Street, London, SW1H 0EU. </w:t>
      </w:r>
      <w:hyperlink r:id="rId16" w:anchor="fnref:4" w:history="1">
        <w:r w:rsidRPr="001049C7">
          <w:rPr>
            <w:rFonts w:ascii="Segoe UI Emoji" w:eastAsia="Times New Roman" w:hAnsi="Segoe UI Emoji" w:cs="Segoe UI Emoji"/>
            <w:color w:val="4C2C92"/>
            <w:sz w:val="24"/>
            <w:szCs w:val="24"/>
            <w:u w:val="single"/>
            <w:bdr w:val="none" w:sz="0" w:space="0" w:color="auto" w:frame="1"/>
            <w:lang w:eastAsia="en-GB"/>
          </w:rPr>
          <w:t>↩</w:t>
        </w:r>
      </w:hyperlink>
    </w:p>
    <w:p w14:paraId="370EB4B6" w14:textId="77777777" w:rsidR="003B319C" w:rsidRPr="001049C7" w:rsidRDefault="003B319C" w:rsidP="003B319C">
      <w:pPr>
        <w:numPr>
          <w:ilvl w:val="0"/>
          <w:numId w:val="2"/>
        </w:numPr>
        <w:spacing w:after="0" w:line="240" w:lineRule="auto"/>
        <w:ind w:left="795"/>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2011 c. 25. </w:t>
      </w:r>
      <w:hyperlink r:id="rId17" w:anchor="fnref:5" w:history="1">
        <w:r w:rsidRPr="001049C7">
          <w:rPr>
            <w:rFonts w:ascii="Segoe UI Emoji" w:eastAsia="Times New Roman" w:hAnsi="Segoe UI Emoji" w:cs="Segoe UI Emoji"/>
            <w:color w:val="4C2C92"/>
            <w:sz w:val="24"/>
            <w:szCs w:val="24"/>
            <w:u w:val="single"/>
            <w:bdr w:val="none" w:sz="0" w:space="0" w:color="auto" w:frame="1"/>
            <w:lang w:eastAsia="en-GB"/>
          </w:rPr>
          <w:t>↩</w:t>
        </w:r>
      </w:hyperlink>
    </w:p>
    <w:p w14:paraId="4A3772F2" w14:textId="77777777" w:rsidR="003B319C" w:rsidRPr="001049C7" w:rsidRDefault="003B319C" w:rsidP="003B319C">
      <w:pPr>
        <w:numPr>
          <w:ilvl w:val="0"/>
          <w:numId w:val="2"/>
        </w:numPr>
        <w:spacing w:after="0" w:line="240" w:lineRule="auto"/>
        <w:ind w:left="795"/>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 xml:space="preserve">2000, c.14. Section 3 provides that an establishment is a care home if it is not a hospital (within the meaning of the National Health Service Act 2006), a children’s home, or of a description excepted by regulations, and if it provides accommodation, together with nursing or personal care, for any of the following persons: a) persons who are or have been ill; b) persons who have </w:t>
      </w:r>
      <w:r w:rsidRPr="001049C7">
        <w:rPr>
          <w:rFonts w:ascii="Arial" w:eastAsia="Times New Roman" w:hAnsi="Arial" w:cs="Arial"/>
          <w:color w:val="0B0C0C"/>
          <w:sz w:val="24"/>
          <w:szCs w:val="24"/>
          <w:lang w:eastAsia="en-GB"/>
        </w:rPr>
        <w:lastRenderedPageBreak/>
        <w:t>or have had a mental disorder; c) persons who are disabled or infirm; d) persons who are or have been dependent on alcohol. </w:t>
      </w:r>
      <w:hyperlink r:id="rId18" w:anchor="fnref:6" w:history="1">
        <w:r w:rsidRPr="001049C7">
          <w:rPr>
            <w:rFonts w:ascii="Segoe UI Emoji" w:eastAsia="Times New Roman" w:hAnsi="Segoe UI Emoji" w:cs="Segoe UI Emoji"/>
            <w:color w:val="4C2C92"/>
            <w:sz w:val="24"/>
            <w:szCs w:val="24"/>
            <w:u w:val="single"/>
            <w:bdr w:val="none" w:sz="0" w:space="0" w:color="auto" w:frame="1"/>
            <w:lang w:eastAsia="en-GB"/>
          </w:rPr>
          <w:t>↩</w:t>
        </w:r>
      </w:hyperlink>
    </w:p>
    <w:p w14:paraId="4C419D08" w14:textId="77777777" w:rsidR="003B319C" w:rsidRPr="001049C7" w:rsidRDefault="003B319C" w:rsidP="003B319C">
      <w:pPr>
        <w:numPr>
          <w:ilvl w:val="0"/>
          <w:numId w:val="2"/>
        </w:numPr>
        <w:spacing w:after="0" w:line="240" w:lineRule="auto"/>
        <w:ind w:left="795"/>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2000 c. 6. Section 107(1) has been amended by section 34(5) and (6)(a), (b) and (c) of the Offender Management Act 2007 (c. 21) and para 12 of Schedule 9 to the Criminal Justice and Courts Act 2015 (c. 2). </w:t>
      </w:r>
      <w:hyperlink r:id="rId19" w:anchor="fnref:7" w:history="1">
        <w:r w:rsidRPr="001049C7">
          <w:rPr>
            <w:rFonts w:ascii="Segoe UI Emoji" w:eastAsia="Times New Roman" w:hAnsi="Segoe UI Emoji" w:cs="Segoe UI Emoji"/>
            <w:color w:val="4C2C92"/>
            <w:sz w:val="24"/>
            <w:szCs w:val="24"/>
            <w:u w:val="single"/>
            <w:bdr w:val="none" w:sz="0" w:space="0" w:color="auto" w:frame="1"/>
            <w:lang w:eastAsia="en-GB"/>
          </w:rPr>
          <w:t>↩</w:t>
        </w:r>
      </w:hyperlink>
    </w:p>
    <w:p w14:paraId="0C32240F" w14:textId="77777777" w:rsidR="003B319C" w:rsidRPr="001049C7" w:rsidRDefault="003B319C" w:rsidP="003B319C">
      <w:pPr>
        <w:numPr>
          <w:ilvl w:val="0"/>
          <w:numId w:val="2"/>
        </w:numPr>
        <w:spacing w:line="240" w:lineRule="auto"/>
        <w:ind w:left="795"/>
        <w:textAlignment w:val="baseline"/>
        <w:rPr>
          <w:rFonts w:ascii="Arial" w:eastAsia="Times New Roman" w:hAnsi="Arial" w:cs="Arial"/>
          <w:color w:val="0B0C0C"/>
          <w:sz w:val="24"/>
          <w:szCs w:val="24"/>
          <w:lang w:eastAsia="en-GB"/>
        </w:rPr>
      </w:pPr>
      <w:r w:rsidRPr="001049C7">
        <w:rPr>
          <w:rFonts w:ascii="Arial" w:eastAsia="Times New Roman" w:hAnsi="Arial" w:cs="Arial"/>
          <w:color w:val="0B0C0C"/>
          <w:sz w:val="24"/>
          <w:szCs w:val="24"/>
          <w:lang w:eastAsia="en-GB"/>
        </w:rPr>
        <w:t>2018 c. 12. </w:t>
      </w:r>
      <w:hyperlink r:id="rId20" w:anchor="fnref:8" w:history="1">
        <w:r w:rsidRPr="001049C7">
          <w:rPr>
            <w:rFonts w:ascii="Segoe UI Emoji" w:eastAsia="Times New Roman" w:hAnsi="Segoe UI Emoji" w:cs="Segoe UI Emoji"/>
            <w:color w:val="4C2C92"/>
            <w:sz w:val="24"/>
            <w:szCs w:val="24"/>
            <w:u w:val="single"/>
            <w:bdr w:val="none" w:sz="0" w:space="0" w:color="auto" w:frame="1"/>
            <w:lang w:eastAsia="en-GB"/>
          </w:rPr>
          <w:t>↩</w:t>
        </w:r>
      </w:hyperlink>
    </w:p>
    <w:sectPr w:rsidR="003B319C" w:rsidRPr="00104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7468"/>
    <w:multiLevelType w:val="multilevel"/>
    <w:tmpl w:val="F472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32939"/>
    <w:multiLevelType w:val="multilevel"/>
    <w:tmpl w:val="6A82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04A01"/>
    <w:multiLevelType w:val="multilevel"/>
    <w:tmpl w:val="7E3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9C"/>
    <w:rsid w:val="001049C7"/>
    <w:rsid w:val="003B319C"/>
    <w:rsid w:val="00593B47"/>
    <w:rsid w:val="00655575"/>
    <w:rsid w:val="00CB025F"/>
    <w:rsid w:val="00FC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E912"/>
  <w15:chartTrackingRefBased/>
  <w15:docId w15:val="{7A1DA58E-D80F-4001-8538-8F804943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31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B31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B31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B319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1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B319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B319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B319C"/>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B31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19C"/>
    <w:rPr>
      <w:color w:val="0000FF"/>
      <w:u w:val="single"/>
    </w:rPr>
  </w:style>
  <w:style w:type="character" w:styleId="Emphasis">
    <w:name w:val="Emphasis"/>
    <w:basedOn w:val="DefaultParagraphFont"/>
    <w:uiPriority w:val="20"/>
    <w:qFormat/>
    <w:rsid w:val="003B319C"/>
    <w:rPr>
      <w:i/>
      <w:iCs/>
    </w:rPr>
  </w:style>
  <w:style w:type="paragraph" w:customStyle="1" w:styleId="gem-c-feedbackoption-list-item">
    <w:name w:val="gem-c-feedback__option-list-item"/>
    <w:basedOn w:val="Normal"/>
    <w:rsid w:val="003B31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vuk-visually-hidden">
    <w:name w:val="govuk-visually-hidden"/>
    <w:basedOn w:val="DefaultParagraphFont"/>
    <w:rsid w:val="003B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703130">
      <w:bodyDiv w:val="1"/>
      <w:marLeft w:val="0"/>
      <w:marRight w:val="0"/>
      <w:marTop w:val="0"/>
      <w:marBottom w:val="0"/>
      <w:divBdr>
        <w:top w:val="none" w:sz="0" w:space="0" w:color="auto"/>
        <w:left w:val="none" w:sz="0" w:space="0" w:color="auto"/>
        <w:bottom w:val="none" w:sz="0" w:space="0" w:color="auto"/>
        <w:right w:val="none" w:sz="0" w:space="0" w:color="auto"/>
      </w:divBdr>
      <w:divsChild>
        <w:div w:id="741173314">
          <w:marLeft w:val="-225"/>
          <w:marRight w:val="-225"/>
          <w:marTop w:val="0"/>
          <w:marBottom w:val="750"/>
          <w:divBdr>
            <w:top w:val="none" w:sz="0" w:space="0" w:color="auto"/>
            <w:left w:val="none" w:sz="0" w:space="0" w:color="auto"/>
            <w:bottom w:val="none" w:sz="0" w:space="0" w:color="auto"/>
            <w:right w:val="none" w:sz="0" w:space="0" w:color="auto"/>
          </w:divBdr>
          <w:divsChild>
            <w:div w:id="114370917">
              <w:marLeft w:val="0"/>
              <w:marRight w:val="0"/>
              <w:marTop w:val="0"/>
              <w:marBottom w:val="0"/>
              <w:divBdr>
                <w:top w:val="none" w:sz="0" w:space="0" w:color="auto"/>
                <w:left w:val="none" w:sz="0" w:space="0" w:color="auto"/>
                <w:bottom w:val="none" w:sz="0" w:space="0" w:color="auto"/>
                <w:right w:val="none" w:sz="0" w:space="0" w:color="auto"/>
              </w:divBdr>
              <w:divsChild>
                <w:div w:id="552812185">
                  <w:marLeft w:val="0"/>
                  <w:marRight w:val="0"/>
                  <w:marTop w:val="0"/>
                  <w:marBottom w:val="675"/>
                  <w:divBdr>
                    <w:top w:val="none" w:sz="0" w:space="0" w:color="auto"/>
                    <w:left w:val="none" w:sz="0" w:space="0" w:color="auto"/>
                    <w:bottom w:val="none" w:sz="0" w:space="0" w:color="auto"/>
                    <w:right w:val="none" w:sz="0" w:space="0" w:color="auto"/>
                  </w:divBdr>
                  <w:divsChild>
                    <w:div w:id="158548147">
                      <w:marLeft w:val="0"/>
                      <w:marRight w:val="0"/>
                      <w:marTop w:val="0"/>
                      <w:marBottom w:val="0"/>
                      <w:divBdr>
                        <w:top w:val="none" w:sz="0" w:space="0" w:color="auto"/>
                        <w:left w:val="none" w:sz="0" w:space="0" w:color="auto"/>
                        <w:bottom w:val="none" w:sz="0" w:space="0" w:color="auto"/>
                        <w:right w:val="none" w:sz="0" w:space="0" w:color="auto"/>
                      </w:divBdr>
                      <w:divsChild>
                        <w:div w:id="1303075526">
                          <w:marLeft w:val="0"/>
                          <w:marRight w:val="0"/>
                          <w:marTop w:val="0"/>
                          <w:marBottom w:val="0"/>
                          <w:divBdr>
                            <w:top w:val="none" w:sz="0" w:space="0" w:color="auto"/>
                            <w:left w:val="none" w:sz="0" w:space="0" w:color="auto"/>
                            <w:bottom w:val="none" w:sz="0" w:space="0" w:color="auto"/>
                            <w:right w:val="none" w:sz="0" w:space="0" w:color="auto"/>
                          </w:divBdr>
                          <w:divsChild>
                            <w:div w:id="670984121">
                              <w:marLeft w:val="0"/>
                              <w:marRight w:val="0"/>
                              <w:marTop w:val="450"/>
                              <w:marBottom w:val="0"/>
                              <w:divBdr>
                                <w:top w:val="single" w:sz="6" w:space="8" w:color="B1B4B6"/>
                                <w:left w:val="none" w:sz="0" w:space="0" w:color="auto"/>
                                <w:bottom w:val="none" w:sz="0" w:space="0" w:color="auto"/>
                                <w:right w:val="none" w:sz="0" w:space="0" w:color="auto"/>
                              </w:divBdr>
                            </w:div>
                          </w:divsChild>
                        </w:div>
                      </w:divsChild>
                    </w:div>
                  </w:divsChild>
                </w:div>
              </w:divsChild>
            </w:div>
            <w:div w:id="682635685">
              <w:marLeft w:val="0"/>
              <w:marRight w:val="0"/>
              <w:marTop w:val="0"/>
              <w:marBottom w:val="0"/>
              <w:divBdr>
                <w:top w:val="none" w:sz="0" w:space="0" w:color="auto"/>
                <w:left w:val="none" w:sz="0" w:space="0" w:color="auto"/>
                <w:bottom w:val="none" w:sz="0" w:space="0" w:color="auto"/>
                <w:right w:val="none" w:sz="0" w:space="0" w:color="auto"/>
              </w:divBdr>
              <w:divsChild>
                <w:div w:id="2103916639">
                  <w:marLeft w:val="225"/>
                  <w:marRight w:val="0"/>
                  <w:marTop w:val="0"/>
                  <w:marBottom w:val="0"/>
                  <w:divBdr>
                    <w:top w:val="none" w:sz="0" w:space="0" w:color="auto"/>
                    <w:left w:val="none" w:sz="0" w:space="0" w:color="auto"/>
                    <w:bottom w:val="none" w:sz="0" w:space="0" w:color="auto"/>
                    <w:right w:val="none" w:sz="0" w:space="0" w:color="auto"/>
                  </w:divBdr>
                  <w:divsChild>
                    <w:div w:id="3774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6241">
          <w:marLeft w:val="0"/>
          <w:marRight w:val="0"/>
          <w:marTop w:val="900"/>
          <w:marBottom w:val="0"/>
          <w:divBdr>
            <w:top w:val="none" w:sz="0" w:space="0" w:color="auto"/>
            <w:left w:val="none" w:sz="0" w:space="0" w:color="auto"/>
            <w:bottom w:val="single" w:sz="6" w:space="0" w:color="FFFFFF"/>
            <w:right w:val="none" w:sz="0" w:space="0" w:color="auto"/>
          </w:divBdr>
          <w:divsChild>
            <w:div w:id="336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13"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18"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12"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17"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2" Type="http://schemas.openxmlformats.org/officeDocument/2006/relationships/styles" Target="styles.xml"/><Relationship Id="rId16"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20"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1" Type="http://schemas.openxmlformats.org/officeDocument/2006/relationships/numbering" Target="numbering.xml"/><Relationship Id="rId6"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11"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5"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15"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10"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19"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4" Type="http://schemas.openxmlformats.org/officeDocument/2006/relationships/webSettings" Target="webSettings.xml"/><Relationship Id="rId9"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14"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4992</Words>
  <Characters>28455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Inchausti</dc:creator>
  <cp:keywords/>
  <dc:description/>
  <cp:lastModifiedBy>Andrea M Inchausti</cp:lastModifiedBy>
  <cp:revision>2</cp:revision>
  <dcterms:created xsi:type="dcterms:W3CDTF">2021-01-15T09:03:00Z</dcterms:created>
  <dcterms:modified xsi:type="dcterms:W3CDTF">2021-01-15T09:03:00Z</dcterms:modified>
</cp:coreProperties>
</file>